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ADÉL SZABÓ</w:t>
            </w:r>
          </w:p>
          <w:p w:rsidR="00C275A3" w:rsidRDefault="00A96AEC" w:rsidP="00C275A3">
            <w:pPr>
              <w:pStyle w:val="Hallgatokepzes"/>
            </w:pPr>
            <w:r>
              <w:t>Biochemical Engineering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Judit Ovádi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 Hungarian Academy of Sciences,
Research Centre for Natural Sciences, 
Institute of Enzymology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Dr- Judit Oláh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research fellow,  Hungarian Academy of Sciences,
Research Centre for Natural Sciences, 
Institute of Enzymology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TPPP/p25: The dual life of a disordered protein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Disordered proteins without a well-defined 3D structure play crucial roles in the etiology of central nervous system diseases. The Cell Architecture Research Group has identified such a disordered brain-specific protein, which was denoted Tubulin Polymerization Promoting Protein/p25 (TPPP/p25) on the basis of its function and molecular mass. In human brain TPPP/p25 is expressed in oligodendrocytes, at physiological condition it modulates the dynamics and stability of the microtubule system. In Parkinson’s disease and other synucleinopathies TPPP/p25 is co-enriched with alpha-synuclein (SYN) in the inclusion bodies. TPPP/p25 is a prototype of “Neomorphic Moonlighting Proteins”, because it performs distinct physiological and pathological functions, without alterations at gene level.</w:t>
      </w:r>
      <w:r>
        <w:rPr>
          <w:color w:val="000000"/>
          <w:sz w:val="24"/>
          <w:szCs w:val="24"/>
        </w:rPr>
        <w:br/>
        <w:t xml:space="preserve">I joined the research group in 2012 when several structural and functional features of the human recombinant TPPP/p25 were known, such as that the disordered N- and C-terminal segments of the protein are straddling a flexible region. The mutant protein without the terminal segments was cloned, which rendered me possible to isolate both the mutant and the wild-type TPPP/p25 species after expression in E. coli, so I could characterize the structure and interactions of the distinct TPPP/p25 forms with biophysical and biochemical techniques at molecular level. My aim was to identify the binding segments on TPPP/p25 involved in its physiological and pathological interactions. Circular dichroism experiments showed that while random coil is characteristic for the wild-type TPPP/p25, the middle flexible (core) region can form a secondary structure. Molten globule structure was identified in the core region of TPPP/p25 by fluorescent spectroscopy. The zinc-finger motif in the core region specifically binds the zinc ion, which induces structural rearrangement and enhances the tubulin polymerization promoting activity of TPPP/p25. I studied the interaction of the distinct TPPP/p25 forms with tubulin and SYN, its physiological and pathological partner respectively, by ELISA and turbidimetry. My results revealed that the C-terminal segment of TPPP/p25 plays a crucial role in its physiological function; however, the core region has a key role in the formation of TPPP/p25-SYN pathological complex. In vivo relevance of these findings has been proved by experiments with living cells: the core region does not co-localize with the microtubule network, but it co-aggregates with SYN.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301461">
    <w:multiLevelType w:val="hybridMultilevel"/>
    <w:lvl w:ilvl="0" w:tplc="63520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301461">
    <w:abstractNumId w:val="81301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761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