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DOBOS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Váczi</w:t>
            </w:r>
          </w:p>
          <w:p w:rsidR="00DB4822" w:rsidRDefault="00DB4822" w:rsidP="00E11062">
            <w:pPr>
              <w:pStyle w:val="Konzulensek"/>
            </w:pPr>
            <w:r w:rsidRPr="00DB4822">
              <w:t>senior lecturer,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existance of the Constitutional Court in Hungary, or what do the constitutional guidelines tell about?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dominant themes of the last three years domestic public life was the constitution.</w:t>
      </w:r>
      <w:r>
        <w:rPr>
          <w:color w:val="000000"/>
          <w:sz w:val="24"/>
          <w:szCs w:val="24"/>
        </w:rPr>
        <w:br/>
        <w:t xml:space="preserve">The parties in the parliament with qualified majority did not leave any doubt, that they are willing to use the constitution and their 2/3 majority to put their program through. The governing party amended the Constitution nine times in 2010. The most controversial constitutional amendments were directed against the institution of the Constitutional Court.</w:t>
      </w:r>
      <w:r>
        <w:rPr>
          <w:color w:val="000000"/>
          <w:sz w:val="24"/>
          <w:szCs w:val="24"/>
        </w:rPr>
        <w:br/>
        <w:t xml:space="preserve">In January of 2012, at the same time with the Fundamental Law, was coming into effect, act CLI. of 2011 on the Constitutional Court, and more modification about of fundamental Law were legislated. Rules of Constitutional Court significantly changed, as a result, both the status of the body all the jurisdiction changed. Undoubtedly forward – looking analyse and characterization of the new sytem is resenable and timely.</w:t>
      </w:r>
      <w:r>
        <w:rPr>
          <w:color w:val="000000"/>
          <w:sz w:val="24"/>
          <w:szCs w:val="24"/>
        </w:rPr>
        <w:br/>
        <w:t xml:space="preserve">In my study I tried to judge the occured changes and find the answer about the following question: Is there any reason for the existence of the Constitutional Court in Hungary. In order to answer the question I took into consideration detailed and comlex analysis of the organizational model of constitutional guidelines.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999283">
    <w:multiLevelType w:val="hybridMultilevel"/>
    <w:lvl w:ilvl="0" w:tplc="20393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999283">
    <w:abstractNumId w:val="939992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0232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