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SZENTGYÖRGYVÁRI</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Barna </w:t>
            </w:r>
          </w:p>
          <w:p w:rsidR="00DB4822" w:rsidRDefault="00DB4822" w:rsidP="00E11062">
            <w:pPr>
              <w:pStyle w:val="Konzulensek"/>
            </w:pPr>
            <w:r w:rsidRPr="00DB4822">
              <w:t>associate professor, SZE ÁJK</w:t>
            </w:r>
          </w:p>
        </w:tc>
      </w:tr>
      <w:tr w:rsidR="00DB4822" w:rsidTr="00DB4822">
        <w:tc>
          <w:tcPr>
            <w:tcW w:w="9854" w:type="dxa"/>
          </w:tcPr>
          <w:p w:rsidR="00DB4822" w:rsidRPr="00DB4822" w:rsidRDefault="00DB4822" w:rsidP="004D7940">
            <w:pPr>
              <w:pStyle w:val="Konzulensek"/>
            </w:pPr>
            <w:r w:rsidRPr="00DB4822">
              <w:t>Ádám Farkas</w:t>
            </w:r>
          </w:p>
          <w:p w:rsidR="00DB4822" w:rsidRDefault="00DB4822" w:rsidP="00E11062">
            <w:pPr>
              <w:pStyle w:val="Konzulensek"/>
            </w:pPr>
            <w:r w:rsidRPr="00DB4822">
              <w:t>professor's assistant,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beginning and centralization of the alien policing authority's legal regulation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am going to focus on two acts. On one hand, I am concerned with the antecedents of the birth of the V. Act from 1903, which regulated the housing of foreigners who lived in the territories of the Hungarian crown and with its enacting clause. On the other hand, I am also concerned with the XXVIII. Act from 1930, which made a change in the preceding law and which ordered the foundation of the Central National Authority for Controlling Foreigners. First of all, I would like to introduce the centralization process and as a result of it, the sharply outlining law enforcements and duties in the dualist era, which defined - with present’s words – the law on aliens in the Kingdom of Hungary, until the 1940s. The large views in connection with the foreigners – which was typical for the dualist era - has been replaced with severity and strong centralization between the world wars. It was required from the 1920s that the controlling of the foreigners should be the state’s responsibility. Therefore, the law enforcement authorities came under direct governmental control: they were supervised by the Ministry of Interior of the Kingdom of Hungary. The role of the Minister of Interior continuously strengthened in point of law enforcement duties introduced in my paper. The foundation of the Central National Authority for Controlling Foreigners meant the culmination of this process. Nevertheless, during the examined time period (1930-1941), the provisions of the Central National Authority for Controlling Foreigners and its branch offices transcended the limits of legality in several cases - to add to the basic problem that the significant part of the contemporary laws reflected the opposition of foreigners from the political leadership’s side. Making the proof of citizenship impossible, the mass expulsion of Jews, the police raids or the contribution in the organization of deportations, all support this assumption.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92068">
    <w:multiLevelType w:val="hybridMultilevel"/>
    <w:lvl w:ilvl="0" w:tplc="278051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92068">
    <w:abstractNumId w:val="382920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10037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