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VÁRADI-TORNYOS BÁLINT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Deák Ferenc 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Szoboszlai-Kiss Katalin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SZE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,,Quo vadis Kung Fu-Ce?" - Avagy kulturális globalizáció a dél-koreai konfuciánus alapokban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középpontjában a Dél-Koreai Köztársaság modernizációja, és annak kulturális hatásai állnak. Ennek során arra az eredményre jutottam, hogy a konfucianizmus sokkal inkább általános világszemlélet, mint a nyugati kategóriákba sorolható jelenség, ezért különlegesen releváns lehet itt, Nyugaton is megismernünk fejlődőképességét.</w:t>
      </w:r>
      <w:r>
        <w:rPr>
          <w:color w:val="000000"/>
          <w:sz w:val="24"/>
          <w:szCs w:val="24"/>
        </w:rPr>
        <w:br/>
        <w:t xml:space="preserve">Mivel a modernizáció mindig jelen idejű, ezért kijelenthetjük, hogy Dél-Korea megfelel a napjainkban „hatályos” nyugati követelményeknek, azonban több szegmensben is konfliktust figyelhetünk meg a hagyományos és az európai értékek között. A hatások vizsgálatához két tételt kell elfogadnunk: elsőként, hogy a konfuciánus gondolkodás stabil alapot jelent (ahogyan azt a legtöbb kutató teszi), és azt is, hogy a jogot modernizálhatjuk, a kultúra azonban fejlődik. A társadalom és jog közötti kölcsönhatás mindig kétirányú, így a jogi objektiváció során a társadalmi igények ugyanolyan jelentősek lehetnek, mint a külső predesztináló tényezők.</w:t>
      </w:r>
      <w:r>
        <w:rPr>
          <w:color w:val="000000"/>
          <w:sz w:val="24"/>
          <w:szCs w:val="24"/>
        </w:rPr>
        <w:br/>
        <w:t xml:space="preserve">Álláspontom szerint három lehetőség figyelhető meg az értékkonfliktus során. Elsőként lényegében ez a konfliktus hiánya, akkor, ha a szegmensben nincs konfuciánus alaptézis, vagy az irreleváns. Amennyiben azonban a konfucianizmus már adott választ az adott kérdéskörre, a megjelenő érték lehet egyrészt teljesen ellentétes a nyugatival, ilyenkor a nyugati hegemónia kényszerereje miatt lassú társadalmi változás lesz tapasztalható. Másrészt az adott konfuciánus alapgondolat lehet rugalmas is, ebben az esetben egyes részei elhalványulnak, mások felerősödnek, azaz egyszerűen megváltozik, fejlődik.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Mindezek alapján úgy vélem, a konfucianizmus nem fog eltűnni, pusztán fejlődik, átalakul. Ugyanakkor azt sem szabad figyelmen kívül hagynunk, hogy a modern mindig az aktuális világstruktúrára utal, ezért valószínű, hogy egészen új irány bontakozik ki a szemünk előtt, amennyiben a hegemón szerepbe más civilizáció kerül. Ez azonban a jövő kérdése és válasza.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444645">
    <w:multiLevelType w:val="hybridMultilevel"/>
    <w:lvl w:ilvl="0" w:tplc="721440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444645">
    <w:abstractNumId w:val="494446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64191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