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ROLAND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PATAKI MÁRTA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Deák Ferenc 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Hulkó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Kálmán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alsó- és középfokú építésrendészeti jog változásai a járások felállításával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Magyary Program céljainak megvalósítása és ezen belül az alsófokú államigazgatási feladatok újraszervezése jelentősen befolyásolta az építési hatósági feladatokkal rendelkező szervek struktúráját. Tanulmányunkban az építési jog két elkülönült területe – építésrendészeti jog, településfejlesztési jog – közül az építésrendészeti jog területén bekövetkezett változásokat kívánom felvázolni, hiszen e területen a jelentős szervi és hatásköri változások eredményeként három elkülönült szerv, szervezeti egység rendelkezik elsőfokú hatáskörrel: (1) járásszékhely település jegyzője; (2) járási törzshivatal; (3) járási építésügyi hivatal/megyeszékhely járási építésügyi és örökségvédelmi hivatal.</w:t>
      </w:r>
      <w:r>
        <w:rPr>
          <w:color w:val="000000"/>
          <w:sz w:val="24"/>
          <w:szCs w:val="24"/>
        </w:rPr>
        <w:br/>
        <w:t xml:space="preserve">Dolgozatunkban az építésügyi igazgatásban, valamint az örökségvédelemben – az egységesített szervezetrendszer okán – bekövetkezett hatásköri és illetékességi változásokat, az új struktúra kialakításának okait, valamint a lehetséges jövőbeni változtatásokat kívánjuk ismertetni.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10553">
    <w:multiLevelType w:val="hybridMultilevel"/>
    <w:lvl w:ilvl="0" w:tplc="29075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10553">
    <w:abstractNumId w:val="92110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4665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