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CSITEI BÉLA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Keserű Barna Arnold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kitagadási okok tartalma, avagy észrevételek az új Ptk. öröklési jogi könyvéhez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március 15-én hatályba lépett a Polgári Törvénykönyvről szóló 2013. évi V. törvény (a továbbiakban Ptk.). A magánjog legfontosabb hazai kódexeként számon tartott törvénymű nemcsak a magánjog egészének átfogó szabályozására tesz kísérletet; egyben számos területen újít elődjéhez képest. E változások közül – a vagyoni viszonyokra gyakorolt jelentőségüknél fogva – kétség kívül kiemelkedő fontossággal bírnak az öröklési jog kötelesrészi normáiban bekövetkezett módosulások.</w:t>
      </w:r>
      <w:r>
        <w:rPr>
          <w:color w:val="000000"/>
          <w:sz w:val="24"/>
          <w:szCs w:val="24"/>
        </w:rPr>
        <w:br/>
        <w:t xml:space="preserve">Az új Ptk. vitán felül az örökhagyó végintézkedési szabadságának kiterjesztése mellett foglal állást: a törvényes és a végintézkedési öröklési fejezetek sorrendjét megfordítja, a kötelesrész mértékét lecsökkenti, s az eddigiekben relatíve könnyen körülhatárolható kitagadási okok listáját újabb, viszonylagos okokkal bővíti tovább. Az újonnan kodifikált kitagadási okok valódi tartalma pusztán a törvény szövegéből nem állapítható meg, így minden bizonnyal a bírósági jogalkalmazásra hárul majd a feladat, hogy esetről esetre történő jogértelmezéssel alakítsa ki azok tényleges, körülhatárolható jelentéstartományát.</w:t>
      </w:r>
      <w:r>
        <w:rPr>
          <w:color w:val="000000"/>
          <w:sz w:val="24"/>
          <w:szCs w:val="24"/>
        </w:rPr>
        <w:br/>
        <w:t xml:space="preserve">A dolgozat célja részben a régi – ámde még hatályos –, valamint az új – s még esetjogi gyakorlattal nem rendelkező – kitagadási okok valóságos értelmezési területének a meghatározása, részben pedig annak a kérdésnek a megválaszolása, hogy a tárgyalt változások nem teremtenek-e aránytalanul hátrányos, egyben méltánytalan helyzetet a kötelesrészre jogosultak számára, s ha igen, milyen módon lehetséges az ebből fakadó problémák orvoslása.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54686">
    <w:multiLevelType w:val="hybridMultilevel"/>
    <w:lvl w:ilvl="0" w:tplc="87324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54686">
    <w:abstractNumId w:val="43554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014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