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BÉLA CSITEI</w:t>
            </w:r>
          </w:p>
          <w:p w:rsidR="00C275A3" w:rsidRDefault="00A96AEC" w:rsidP="00C275A3">
            <w:pPr>
              <w:pStyle w:val="Hallgatokepzes"/>
            </w:pPr>
            <w:r>
              <w:t>Faculty of Law</w:t>
            </w:r>
            <w:r>
              <w:br/>
            </w:r>
            <w:r w:rsidR="00E77B23">
              <w:t>Unified, 5. semester</w:t>
            </w:r>
          </w:p>
          <w:p w:rsidR="00C265CE" w:rsidRPr="009E5FF1" w:rsidRDefault="00E77B23" w:rsidP="00C275A3">
            <w:pPr>
              <w:pStyle w:val="Hallgatokepzes"/>
              <w:rPr>
                <w:b/>
                <w:caps/>
              </w:rPr>
            </w:pPr>
            <w:r>
              <w:t>Széchenyi István University</w:t>
            </w:r>
            <w:r w:rsidR="00C275A3">
              <w:br/>
            </w:r>
            <w:r w:rsidR="00DB4822">
              <w:t>Deák Ferenc 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Barna Arnold Keserű</w:t>
            </w:r>
          </w:p>
          <w:p w:rsidR="00DB4822" w:rsidRDefault="00DB4822" w:rsidP="00E11062">
            <w:pPr>
              <w:pStyle w:val="Konzulensek"/>
            </w:pPr>
            <w:r w:rsidRPr="00DB4822">
              <w:t>PhD student, SZE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content of the disherison reasons, or observations to the code of the inheritance's right of the new Civil Code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Act V. of 2013 on the Civil Code (hereunder Civil Code) came to force on 15th March 2014. Considered as the most important domestic codex of civil law has a fling not only at the all-around regulation of the civil law, as a whole, it innovates on numerous fields for its predecessor. From among these changes, because of their significance exercised on the financial circumstances, are of vital importance the alterations occurred in the norms of reserved share.</w:t>
      </w:r>
      <w:r>
        <w:rPr>
          <w:color w:val="000000"/>
          <w:sz w:val="24"/>
          <w:szCs w:val="24"/>
        </w:rPr>
        <w:br/>
        <w:t xml:space="preserve">Beyond doubt, the new Civil Code decides for the expansion of the disposition freedom of the devisor. It reverses the order of the legal and the disposition inheritance's chapters, it puts down the standard of reserved share and it broadens the list of disherison reasons with new and relative causes, which list used to be easily confinable. The real content of the newly codified disherison reasons can not be barely determined based on the law context, the court of law will definitely bear the role to work up their true confinable report province by interpretation case by case.</w:t>
      </w:r>
      <w:r>
        <w:rPr>
          <w:color w:val="000000"/>
          <w:sz w:val="24"/>
          <w:szCs w:val="24"/>
        </w:rPr>
        <w:br/>
        <w:t xml:space="preserve">Partly, the aim of the essay is to define the true interpretation field of the old but effective disherison reasons and the one of the new ones but with no work experience. Otherwise, the goal of the essay is to answer the following question: the underview changes create any disproportionately disadvantageous and at the same time inequitable situation for the entitled of the reserved share, and when they do, in what manner is it possible to handle the problems resulting from this.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4674707">
    <w:multiLevelType w:val="hybridMultilevel"/>
    <w:lvl w:ilvl="0" w:tplc="2552622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4674707">
    <w:abstractNumId w:val="8467470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0807985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