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BALÁZS ANDRÁS</w:t>
            </w:r>
          </w:p>
          <w:p w:rsidR="00C275A3" w:rsidRDefault="00A96AEC" w:rsidP="00C275A3">
            <w:pPr>
              <w:pStyle w:val="Hallgatokepzes"/>
            </w:pPr>
            <w:r>
              <w:t>Jogász szak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Keserű Barna Arnold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Környezetvédelem és polgári jog, avagy polgári jogi eszközök a környezet megóvásért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környezetvédelem és a polgári jog kapcsolatának részletes bemutatása, különös tekintettel a környezet megóvása érdekében alkalmazható polgári jogi eszközökre.</w:t>
      </w:r>
      <w:r>
        <w:rPr>
          <w:color w:val="000000"/>
          <w:sz w:val="24"/>
          <w:szCs w:val="24"/>
        </w:rPr>
        <w:br/>
        <w:t xml:space="preserve">A bírói gyakorlaton keresztül próbálok meg rávilágítani arra, hogy a polgári jog eszközei is alkalmasak lehetnek arra, hogy hozzájáruljanak egy hatékony környezetvédelem kialakításában.</w:t>
      </w:r>
      <w:r>
        <w:rPr>
          <w:color w:val="000000"/>
          <w:sz w:val="24"/>
          <w:szCs w:val="24"/>
        </w:rPr>
        <w:br/>
        <w:t xml:space="preserve">Elsőként a felelősséggel kapcsolatos kérdéseket vizsgálom, melynek keretében sorra veszem a kárfelelősség egyes elemeit és az ezekkel kapcsolatos bizonyítási nehézségeket. Továbbá egyes jogeseteken keresztül mutatom be, hogy miként értelmezi a bíróság elháríthatatlan külső ok és tevékenységi körön kívülre eső ok fogalmát.</w:t>
      </w:r>
      <w:r>
        <w:rPr>
          <w:color w:val="000000"/>
          <w:sz w:val="24"/>
          <w:szCs w:val="24"/>
        </w:rPr>
        <w:br/>
        <w:t xml:space="preserve">A dolgozat további részében a még rendelkezésre álló polgári jogi eszközöket elemzem, így a személyek jogi védelmét, a szomszédjogot és a birtokvédelmet. A három jogintézmény szabályait a környezetkárosító tevékenységekkel párhuzamba állítva vizsgálom, valamint a bíró gyakorlatot elemezve vizsgálom azokat a tevékenységeket, amelyek alkalmasak lehetnek arra, hogy e jogokat megsértsék.</w:t>
      </w:r>
      <w:r>
        <w:rPr>
          <w:color w:val="000000"/>
          <w:sz w:val="24"/>
          <w:szCs w:val="24"/>
        </w:rPr>
        <w:br/>
        <w:t xml:space="preserve">A de lege ferenda részben a bírói gyakorlat alapján levonható következtetéseket foglalom össze, illetve javaslataimat teszem meg.</w:t>
      </w:r>
      <w:r>
        <w:rPr>
          <w:color w:val="000000"/>
          <w:sz w:val="24"/>
          <w:szCs w:val="24"/>
        </w:rPr>
        <w:br/>
        <w:t xml:space="preserve">Összességében célom, hogy bemutassam a polgári jogban rejlő lehetőségeket a környezet védelmének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03394">
    <w:multiLevelType w:val="hybridMultilevel"/>
    <w:lvl w:ilvl="0" w:tplc="10188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03394">
    <w:abstractNumId w:val="391033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535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