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ANDRÁS HORVÁTH</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Arnold Keserű</w:t>
            </w:r>
          </w:p>
          <w:p w:rsidR="00DB4822" w:rsidRDefault="00DB4822" w:rsidP="00E11062">
            <w:pPr>
              <w:pStyle w:val="Konzulensek"/>
            </w:pPr>
            <w:r w:rsidRPr="00DB4822">
              <w:t>PhD student,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 protection and civil law, or civil law instruments for the protection of the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aims to present the relations between environment protection and civil law in detail, with great attention to the civil law instruments which can be applied for the environment protecting.</w:t>
      </w:r>
      <w:r>
        <w:rPr>
          <w:color w:val="000000"/>
          <w:sz w:val="24"/>
          <w:szCs w:val="24"/>
        </w:rPr>
        <w:br/>
        <w:t xml:space="preserve">I try to present through the judicial practice, that the civil law instruments could be suitable for an effective environment protection.</w:t>
      </w:r>
      <w:r>
        <w:rPr>
          <w:color w:val="000000"/>
          <w:sz w:val="24"/>
          <w:szCs w:val="24"/>
        </w:rPr>
        <w:br/>
        <w:t xml:space="preserve">First of all I examine the issue of the liability, in which I analyze some elements of them and in connection with difficulty of proof. Furthermore through some judicial cases I introduce how to interpret the court the definition of force majeure and reasons falling outside scope of activities.</w:t>
      </w:r>
      <w:r>
        <w:rPr>
          <w:color w:val="000000"/>
          <w:sz w:val="24"/>
          <w:szCs w:val="24"/>
        </w:rPr>
        <w:br/>
        <w:t xml:space="preserve">Subsequently I analyze the further civil law instruments, like the legal protection of the person, neighboring rights and right of possession. In addition I analyze through the judicial practice those activities, which could be suitable to violate these rights.</w:t>
      </w:r>
      <w:r>
        <w:rPr>
          <w:color w:val="000000"/>
          <w:sz w:val="24"/>
          <w:szCs w:val="24"/>
        </w:rPr>
        <w:br/>
        <w:t xml:space="preserve">In my de lege ferenda suggestion I summarize the conclusion of the judicial practice, and I draft my recommendations.</w:t>
      </w:r>
      <w:r>
        <w:rPr>
          <w:color w:val="000000"/>
          <w:sz w:val="24"/>
          <w:szCs w:val="24"/>
        </w:rPr>
        <w:br/>
        <w:t xml:space="preserve">In total my goal is to present the potential of civil law actions for the environment protection.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46234">
    <w:multiLevelType w:val="hybridMultilevel"/>
    <w:lvl w:ilvl="0" w:tplc="64467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46234">
    <w:abstractNumId w:val="93046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998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