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KIRÁLY PÉTER BÁLINT</w:t>
            </w:r>
          </w:p>
          <w:p w:rsidR="00C275A3" w:rsidRDefault="00A96AEC" w:rsidP="00C275A3">
            <w:pPr>
              <w:pStyle w:val="Hallgatokepzes"/>
            </w:pPr>
            <w:r>
              <w:t>Jogász szak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Lévayné Dr. Fazekas Judit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Gondolatok a devizahiteles perek margójára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az utóbbi időszak legnagyobb port felkavaró ügyei a devizahiteles perek és az azokkal kapcsolatos jogi kérdések. A témaválasztásomat éppen a téma aktualitása indokolta. A dolgozatom célja bemutatni a devizahiteles perekre adott jogalkotói és jogalkal-mazói megoldásokkal kapcsolatos problémákat, kérdéseket és azok következményeit.</w:t>
      </w:r>
      <w:r>
        <w:rPr>
          <w:color w:val="000000"/>
          <w:sz w:val="24"/>
          <w:szCs w:val="24"/>
        </w:rPr>
        <w:br/>
        <w:t xml:space="preserve">Dolgozatomban bemutatom a probléma kialakulását, majd ismertetem a devizahitelekkel kapcsolatos legfontosabb fogalmakat, és az ezekre vonatkozó hazai és Uniós jogszabályokat és azok változásait. Ezt követően az Európai Unió bíróságának Kásler ügyben hozott ítéletét, valamint a Kúria jogegységi döntéseit, PK véleményeit elemezve igyekszem rávilágítani a bírói gyakorlat ellentmondásaira és problémáira. Bemutatom a 2014. évi XXXVIII. törvény rendelkezéseit és annak aggályos pontjait, valamint a törvény viszonyát az előzményéül szol-gáló bírósági döntésekhez. Külön foglalkozom a törvény visszaható hatályának kérdésével, a tisztességes eljáráshoz való joggal és a konzultációs kötelezettség elmulasztásával, amelyekkel kapcsolatos véleményemet az Európai Központi Bank véleményére, a Kúria korábbi dön-téseire, és a 34/2014 Alkotmánybírósági határozatra alapozom. De lege ferenda javaslatomban próbálok olyan megoldást felvázolni, amely elkerülhetővé teszi a jövőben hasonló problémák megjelenését, de legalábbis azok megoldását gyorsabbá és hatékonyabbá teszik. Végül röviden foglalkozom a kialakult helyzet lehetséges következményeivel.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40161">
    <w:multiLevelType w:val="hybridMultilevel"/>
    <w:lvl w:ilvl="0" w:tplc="351348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40161">
    <w:abstractNumId w:val="688401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8564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