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BÁLINT KIRÁLY</w:t>
            </w:r>
          </w:p>
          <w:p w:rsidR="00C275A3" w:rsidRDefault="00A96AEC" w:rsidP="00C275A3">
            <w:pPr>
              <w:pStyle w:val="Hallgatokepzes"/>
            </w:pPr>
            <w:r>
              <w:t>Faculty of Law</w:t>
            </w:r>
            <w:r>
              <w:br/>
            </w:r>
            <w:r w:rsidR="00E77B23">
              <w:t>Unified, 5.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Lévayné Dr. Fazekas Judit</w:t>
            </w:r>
          </w:p>
          <w:p w:rsidR="00DB4822" w:rsidRDefault="00DB4822" w:rsidP="00E11062">
            <w:pPr>
              <w:pStyle w:val="Konzulensek"/>
            </w:pPr>
            <w:r w:rsidRPr="00DB4822">
              <w:t>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Thoughts on the margins of the foreign currency loan litigations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study’s main topic is the recent issues of foreign currency loan litigations and legal matters related to it. My choice of this topic was motivated by its actuality. My aim is to pre-sent problems, issues and consequences related to foreign currency loan lawsuits through the legislative and judicial solutions.</w:t>
      </w:r>
      <w:r>
        <w:rPr>
          <w:color w:val="000000"/>
          <w:sz w:val="24"/>
          <w:szCs w:val="24"/>
        </w:rPr>
        <w:br/>
        <w:t xml:space="preserve">In my study I present the development of the problem, then the key definitions related to foreign currency loans, and the relevant national and EU law and the changes in those rules. Subsequently, I analyze the European Court of Justice’s judgment in the so-called Kásler-case, the Curia’s opinions and decisions for the unity of the law, and highlight the contradictions and problems of judicial practice. Furthermore, I review the provisions of the Act XXXVIII of 2014 and its solicitous points, as well as the relationship between the antecedent judicial decisions. I also deal with the issue of retrospective legislation, the right to a fair trial and the failure to comply with their duty to consult the ECB. My opinions of these issues mainly based on previous opinion of the European Central Bank and decisions of the Curia, and the 34/2014 decision of the Court of Constitution. In my de lege ferenda suggestion I try to outline a solution that helps avoiding the appearance of similar problems in the future, but at least gives a faster and more efficient solution to make it. Finally, I briefly deal with possible consequences of this situation.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14803">
    <w:multiLevelType w:val="hybridMultilevel"/>
    <w:lvl w:ilvl="0" w:tplc="27793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14803">
    <w:abstractNumId w:val="686148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80649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