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KOBL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Deák Ferenc 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Szegedi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liabilities of the directors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Economic companies are the main characters of modern economic relations. In these companies, however, there is a tendency towards forming a large gap between the members realized as passive investors, the shareholders as well as the office-holders actually performing management tasks. In this construction it is essential to create regulations, on the basis of which there is a way to step up against wrongdoing office-holders.</w:t>
      </w:r>
      <w:r>
        <w:rPr>
          <w:color w:val="000000"/>
          <w:sz w:val="24"/>
          <w:szCs w:val="24"/>
        </w:rPr>
        <w:br/>
        <w:t xml:space="preserve">The coming to force of New Code Civil of Hungary had a significant effect concerning the extent of leader’s responsibilityand both of its directions, so in this paper I attempted to present an overall and coherent picture of the renewed, multi-layered regulation.</w:t>
      </w:r>
      <w:r>
        <w:rPr>
          <w:color w:val="000000"/>
          <w:sz w:val="24"/>
          <w:szCs w:val="24"/>
        </w:rPr>
        <w:br/>
        <w:t xml:space="preserve">During my research I came to the conclusion that the applicability of the renewed contractual responsibility in the case of wrongdoing office-holders is not entirely free of problems. There are some elements of the state of affairs that can only be interpreted through a challenging in respect of the relations of the office-holder, to which only the evolving judicial practice can give a proper answer.</w:t>
      </w:r>
      <w:r>
        <w:rPr>
          <w:color w:val="000000"/>
          <w:sz w:val="24"/>
          <w:szCs w:val="24"/>
        </w:rPr>
        <w:br/>
        <w:t xml:space="preserve">In my paper I present an entire chapter to the anomaly concerning the responsibility of damages caused to a third party by an office-holder. Several questions are raised in connection with how the responsibility of the leading office-holder and the economic company are shaped. In my judgment the main problem centers around the interpretation of the legislation.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25441">
    <w:multiLevelType w:val="hybridMultilevel"/>
    <w:lvl w:ilvl="0" w:tplc="49346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25441">
    <w:abstractNumId w:val="410254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260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