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Keserű Barna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"Divatjog a kifutón" - A divatipar oltalmazhatóságának lehetőségei a szellemi tulajdonjogok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divatjog az utóbbi években önállósult, gyorsan fejlődő, különleges jogterületté vált, amely nem csupán a szellemi tulajdonjog területéhez kapcsolódik, hanem polgári jogi, társasági jogi, munkajogi és nemzetközi jogi aspektusokkal is rendelkezik, ezáltal a divatipar elsődleges szabályozási hátteréül szolgál.</w:t>
      </w:r>
      <w:r>
        <w:rPr>
          <w:color w:val="000000"/>
          <w:sz w:val="24"/>
          <w:szCs w:val="24"/>
        </w:rPr>
        <w:br/>
        <w:t xml:space="preserve">A 21. századra a divatipar a világ egyik legfontosabb kreatív iparágává nőtte ki magát. Ennek eredményeként a nyilvánosság felfigyelt a divatos „tervezői termékekre”, és az egyes tervezők és a meghatározott dizájnok népszerűségének köszönhetően a divatkalózkodás jelensége is egyre elterjedtebbé vált. De vajon hol húzódik a jogi határ az inspiráció, az utánzás és a hamisítás között? Szükség van-e egyáltalán a divatiparban szellemitulajdon-védelemre? Ha igen, melyik oltalmi forma a legalkalmasabb erre? Dolgozatom célja, hogy választ találjak e kérdésekre, valamint összehasonlítsam az Európai Unió és az Egyesült Államok által nyújtott jogvédelmi lehetőségeket.</w:t>
      </w:r>
      <w:r>
        <w:rPr>
          <w:color w:val="000000"/>
          <w:sz w:val="24"/>
          <w:szCs w:val="24"/>
        </w:rPr>
        <w:br/>
        <w:t xml:space="preserve">Kutatásom eredményeként megállapítható, hogy a divatcikkek "funkcionális karaktere" és rövid élettartama nagy kihívást jelent a megfelelő jogi védelem megtalálásában. Az USA-ban a bíróságok még ma is azt az elavult nézetet vallják, hogy a ruházati termékek „használati cikknek” minősülnek, ami megfosztja a divattervezőket a jogi oltalom lehetőségétől. Az USA-ban alkalmazott oltalmi formák, mint a szerzői jog, védjegy, trade dress és design szabadalom a divatcikkek bizonyos elemeit ugyan védelemben részesítik, önmagában a divattervek egészét azonban semmi sem védi meg a divatkalózok támadásától. Ezzel szemben az Európai Unióban ezt a problémát úgy oldották meg, hogy sui generis oltalmi formát hoztak létre a formatervezési minták oltalmára, amely a ruházati termékek külső megjelenésének egészére kiterjedő védelmet képes biztosítani. E jól bevált rendszert sokan példaként hozzák fel a merev amerikai jogi keretekkel szemben, ezért az USA-ban az elmúlt években egyre több törvénytervezet látott napvilágot, melyeknek kifejezetten a divattervezők védelme a célja.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85393">
    <w:multiLevelType w:val="hybridMultilevel"/>
    <w:lvl w:ilvl="0" w:tplc="70913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85393">
    <w:abstractNumId w:val="68085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859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