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UJVÁRI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Arnold Keserű</w:t>
            </w:r>
          </w:p>
          <w:p w:rsidR="00DB4822" w:rsidRDefault="00DB4822" w:rsidP="00E11062">
            <w:pPr>
              <w:pStyle w:val="Konzulensek"/>
            </w:pPr>
            <w:r w:rsidRPr="00DB4822">
              <w:t>PhD student,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"Fashion law on the runway" - Possibilities of legal protection for fashion industry in the light of intellectual property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Fashion law is an area of law that has become an independent, rapidly growing and specific discipline in the past couple of years. Not only does it deal with intellectual property law but it also has some civil law, corporate law, labour law and international law aspects, thus serving as the primary legal regulation of the fashion industry.</w:t>
      </w:r>
      <w:r>
        <w:rPr>
          <w:color w:val="000000"/>
          <w:sz w:val="24"/>
          <w:szCs w:val="24"/>
        </w:rPr>
        <w:br/>
        <w:t xml:space="preserve">By the 21th century, fashion has achieved the status of one of the most important industries in the world. As a result, the growth of the fashion industry has spawned an increased public awareness for fashionable ‘designer products’, and in light of the popularity of certain designers or specific designs, style piracy has increased exponentially. But where is the line between inspiration, knockoffs and counterfeits? Does fashion industry need intellectual property protection at all? And if it does, which form of protection is the most suitable for fashion designs? The aim of my study is to find answers to these questions and make a comparison between legal protection possibilities provided by the European Union and the United States.</w:t>
      </w:r>
      <w:r>
        <w:rPr>
          <w:color w:val="000000"/>
          <w:sz w:val="24"/>
          <w:szCs w:val="24"/>
        </w:rPr>
        <w:br/>
        <w:t xml:space="preserve">As a result of my research, my conclusion is that the ‘functional character’ of fashion designs, combined with their short life expectancy, constitutes a major challenge for their legal protection. In the United States the courts still uphold the archaic view of fashion designs as ‘useful articles’ which deprives most articles of apparel from adequate legal protection. Despite the form of protections used in the United States, such as copyright, trademark, trade dress and design patent, fashion designs as a whole remain unprotected against design piracy. Contrarily, in the European Union this problem was solved by creating a sui generis design protection for fashion designs that protects the whole appearance of the apparel. This effective two-tier system is being brought up as an example as opposite of the strict American regulation, thus more and more bills have appeared recently in the United States that specifically aim at the protection of fashion designers.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8189">
    <w:multiLevelType w:val="hybridMultilevel"/>
    <w:lvl w:ilvl="0" w:tplc="33878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8189">
    <w:abstractNumId w:val="82098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487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