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KEVIN MÁTYÁS</w:t>
            </w:r>
          </w:p>
          <w:p w:rsidR="00C275A3" w:rsidRDefault="00A96AEC" w:rsidP="00C275A3">
            <w:pPr>
              <w:pStyle w:val="Hallgatokepzes"/>
            </w:pPr>
            <w:r>
              <w:t>Civil Engineering</w:t>
            </w:r>
            <w:r>
              <w:br/>
            </w:r>
            <w:r w:rsidR="00E77B23">
              <w:t>BSc, 9.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Bene</w:t>
            </w:r>
          </w:p>
          <w:p w:rsidR="00DB4822" w:rsidRDefault="00DB4822" w:rsidP="00E11062">
            <w:pPr>
              <w:pStyle w:val="Konzulensek"/>
            </w:pPr>
            <w:r w:rsidRPr="00DB4822">
              <w:t>Associate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Hydrological modeling of an industrial park in Győr using the Storm and Sanitary Analysis program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storm water collection system was recently installed at an industrial park in Győr, Hungary. The designer wanted to develop a computer model to better understand the complex hydrological processes that interact with the storm sewer network. </w:t>
      </w:r>
    </w:p>
    <w:p>
      <w:pPr>
        <w:widowControl w:val="on"/>
        <w:pBdr/>
        <w:spacing w:before="240" w:after="240" w:line="240" w:lineRule="auto"/>
        <w:ind w:left="0" w:right="0"/>
        <w:jc w:val="left"/>
      </w:pPr>
      <w:r>
        <w:rPr>
          <w:color w:val="000000"/>
          <w:sz w:val="24"/>
          <w:szCs w:val="24"/>
        </w:rPr>
        <w:t xml:space="preserve">The network includes a runoff collection system and two ponds: one detention/retention and one infiltration pond. The Autodesk Civil 3D program was used to design the roads, and the Storm Sewer Analysis (SSA) program, an add-in program to Civil 3D was selected to model the storm water system. </w:t>
      </w:r>
    </w:p>
    <w:p>
      <w:pPr>
        <w:widowControl w:val="on"/>
        <w:pBdr/>
        <w:spacing w:before="240" w:after="240" w:line="240" w:lineRule="auto"/>
        <w:ind w:left="0" w:right="0"/>
        <w:jc w:val="left"/>
      </w:pPr>
      <w:r>
        <w:rPr>
          <w:color w:val="000000"/>
          <w:sz w:val="24"/>
          <w:szCs w:val="24"/>
        </w:rPr>
        <w:t xml:space="preserve">The model was developed based on design drawings and field inspections. The model was calibrated using measured rainfall data and pond level measurements. Finally, we evaluated the impact of different rainfall patterns on the system and studied the interaction between pond infiltration and movement of the groundwater table.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323924">
    <w:multiLevelType w:val="hybridMultilevel"/>
    <w:lvl w:ilvl="0" w:tplc="420836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323924">
    <w:abstractNumId w:val="683239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43967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