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LAKATOS VIVIEN</w:t>
            </w:r>
          </w:p>
          <w:p w:rsidR="00C275A3" w:rsidRDefault="00A96AEC" w:rsidP="00C275A3">
            <w:pPr>
              <w:pStyle w:val="Hallgatokepzes"/>
            </w:pPr>
            <w:r>
              <w:t>Mérnöktanár, informatikai szakirány</w:t>
            </w:r>
            <w:r>
              <w:br/>
            </w:r>
            <w:r w:rsidR="00E77B23">
              <w:t>Osztatlan,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Műszaki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SZAKÁCS ANDRÁS</w:t>
            </w:r>
          </w:p>
          <w:p w:rsidR="00DB4822" w:rsidRDefault="00C275A3" w:rsidP="004D7940">
            <w:pPr>
              <w:pStyle w:val="Hallgatokepzes"/>
            </w:pPr>
            <w:r>
              <w:t>Mérnöktanár, közlekdési szakirány</w:t>
            </w:r>
            <w:r w:rsidR="00A96AEC">
              <w:br/>
              <w:t>Osztatlan, 3.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Vásárhelyi Zsuzsanna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SZE MTK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család hatása a gyermek személyiségének fejlődésére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személyiség alakulását számos tényező befolyásolja. Ezek közül az egyik legfontosabb a család, amely a gyermek legkorábbi élményeinek forrása. A harmonikus, érzelmileg kiegyensúlyozott család a gyermek nevelésének legkedvezőbb színtere. A felnövekvő ember életében betöltött szerepe azért olyan jelentős, mert a családban történik a személyiségfejlődés érzelmi alapjainak lerakása, amely a gyermek későbbi fejlődésére meghatározó lehet.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család biztosítja az első ún. interakciós teret a gyermeknek, és bevezeti a saját szubkultúrájába. Így tanul meg a gyermek más emberekkel kapcsolatot teremteni. A gyermek szocializációjának nélkülözhetetlen katalizátora, és erőt adó élménye a tartós, személyes szeretetkapcsolatra épülő családi közösség. A jól funkcionáló családban a családtagok pozitív életérzése az együttes élményekből, az érdekek felismeréséből, a lelki és a szociális összetartozás folyamatos átéléséből ered.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bemutatja a család komplex hatásrendszerét. Kiemeli az anya-gyerek kapcsolatának jelentőségét, az empátia és a kommunikáció szerepét a szülők tevékenységében. Elemzi az ösztönző és gátló nevelési módszerek következményeit. Végezetül rávilágít a szülő-gyermek kapcsolat zavaraira, a válás és az új családdá szerveződés problémáira.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636767">
    <w:multiLevelType w:val="hybridMultilevel"/>
    <w:lvl w:ilvl="0" w:tplc="215720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636767">
    <w:abstractNumId w:val="616367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146103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