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KLAUDIA MURÁNYI</w:t>
            </w:r>
          </w:p>
          <w:p w:rsidR="00C275A3" w:rsidRDefault="00A96AEC" w:rsidP="00C275A3">
            <w:pPr>
              <w:pStyle w:val="Hallgatokepzes"/>
            </w:pPr>
            <w:r>
              <w:t>finance and public accountancy</w:t>
            </w:r>
            <w:r>
              <w:br/>
            </w:r>
            <w:r w:rsidR="00E77B23">
              <w:t>BSc, 6.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Várkonyiné Juhász</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in regulation of financial leasing</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leasing; New Civil Code; IAS 17</w:t>
      </w:r>
      <w:r>
        <w:t xml:space="preserve"/>
      </w:r>
    </w:p>
    <w:p>
      <w:pPr>
        <w:widowControl w:val="on"/>
        <w:pBdr/>
        <w:spacing w:before="240" w:after="240" w:line="240" w:lineRule="auto"/>
        <w:ind w:left="0" w:right="0"/>
        <w:jc w:val="left"/>
      </w:pPr>
      <w:r>
        <w:rPr>
          <w:color w:val="000000"/>
          <w:sz w:val="24"/>
          <w:szCs w:val="24"/>
        </w:rPr>
        <w:t xml:space="preserve">The subject of my thesis is the regulation of financial leasing. According to my opinion this subject is current in the fields of legal and economic-accountancy regulation. The main questions of my thesis are firstly the development of financial leasing defination in legal regulation, secondly as a result of it how economic role and clearing of accounts of financial leasing change.My fundamental assumption is that the New Civil Code gives the defination of financial leasing but it does not fill in it with content. The New Civil Code does not define eg. the determination of economic lifetime. It is necessary to examine the international accountancy rules (IAS 17) to the interpretation. The change of legal regulation appears not only in the New Civil Code but as a result of this Code the concerning parts of the Act CCXXXVII of 2013 on Credit Institutions and Financial Enterprises and Act C of 2000 on accounting are also changed.In my thesis I outline the development of financial leasing historical background, the main reasons of its spread, its economic significance in the life of corporations then and now, furthermore the formation of the legal regulation.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051684">
    <w:multiLevelType w:val="hybridMultilevel"/>
    <w:lvl w:ilvl="0" w:tplc="10077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051684">
    <w:abstractNumId w:val="170516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712555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