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CSUDAI</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Peter, Dr. Smuk</w:t>
            </w:r>
          </w:p>
          <w:p w:rsidR="00DB4822" w:rsidRDefault="00DB4822" w:rsidP="009763E0">
            <w:pPr>
              <w:pStyle w:val="Konzulensektitulus"/>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Pluralism in the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democratic state’s mass communication requires a media system, which can provide the citizens with proper information, so they could make their life decisions safely. When the legislative body construct this system, it should not only take the human rights in considaration, but should also pay attention to the criteria of diversity,with variant expression – pluralism.</w:t>
      </w:r>
    </w:p>
    <w:p>
      <w:pPr>
        <w:widowControl w:val="on"/>
        <w:pBdr/>
        <w:spacing w:before="240" w:after="240" w:line="240" w:lineRule="auto"/>
        <w:ind w:left="0" w:right="0"/>
        <w:jc w:val="left"/>
      </w:pPr>
      <w:r>
        <w:rPr>
          <w:color w:val="000000"/>
          <w:sz w:val="24"/>
          <w:szCs w:val="24"/>
        </w:rPr>
        <w:t xml:space="preserve">"Pluralism needs a wide range of social, political and cultural values, opinions, information and interests, which are expressed through the media." (Council of Europe Committee of Experts)</w:t>
      </w:r>
    </w:p>
    <w:p>
      <w:pPr>
        <w:widowControl w:val="on"/>
        <w:pBdr/>
        <w:spacing w:before="240" w:after="240" w:line="240" w:lineRule="auto"/>
        <w:ind w:left="0" w:right="0"/>
        <w:jc w:val="left"/>
      </w:pPr>
      <w:r>
        <w:rPr>
          <w:color w:val="000000"/>
          <w:sz w:val="24"/>
          <w:szCs w:val="24"/>
        </w:rPr>
        <w:t xml:space="preserve">This thesis is focused on the two types of required diversity, external and internal pluralism, which are interacting with each other, so wide-ranging mass communication could be provided.</w:t>
      </w:r>
      <w:r>
        <w:rPr>
          <w:color w:val="000000"/>
          <w:sz w:val="24"/>
          <w:szCs w:val="24"/>
        </w:rPr>
        <w:br/>
        <w:t xml:space="preserve">The external one assists wide-spred information and opinions in the media, the internal one keeps balance between stands in one product or channel. The legislature trying to develop the democratic model type media system through indirect- and direct norms, that are affecting the media, and enforcing the requirement. This paper examines these tools, as well as trying to answer the question: how to promote the values, and setpoints with pluralism, in a more proprietary, for-profit interested media world. The thesis also accompanies the legal response of the European Union and our country, and study their common thoughts on how to protect consumer welfare, by providing a wider choice.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66624">
    <w:multiLevelType w:val="hybridMultilevel"/>
    <w:lvl w:ilvl="0" w:tplc="38883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66624">
    <w:abstractNumId w:val="16666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333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