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PONGRÁCZ DÁVID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Smuk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gyűlöletbeszéd elleni harc a polgári jog eszközeivel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gyűlöletbeszéd korlátozása kis túlzással a jogászok „örökzöld” témája, és változó intenzitással ugyan, de időről időre visszatérően fellángol köztük a késhegyre menő vita a korlátok megfelelő megvonásával kapcsolatban.</w:t>
      </w:r>
      <w:r>
        <w:rPr>
          <w:color w:val="000000"/>
          <w:sz w:val="24"/>
          <w:szCs w:val="24"/>
        </w:rPr>
        <w:br/>
        <w:t xml:space="preserve">Hazánkban a jogalkotó a rendszerváltás óta igyekezett kiszélesíteni a közösség elleni izgatás elkövetési magatartásainak körét, továbbá a polgári jog területén is megpróbálta érvényre juttatni törekvéseit, ezeket a próbálkozásokat azonban más-más, mégis mindig egyazon mögöttes indok miatt sorozatosan halálra ítélte az Alkotmánybíróság. Ez az ok a büntetőjog ultima ratio jellegénél fogva nem volt más, mint a véleménynyilvánítás szabadságának aránytalan korlátozása, a polgári jog területén tett kísérletek esetében pedig leginkább a szabályozás mikéntje vezetett aránytalanságokhoz és számos más problémához. Világossá vált tehát, hogy csak az Alkotmány célirányos módosításával küszöbölhette volna ki a jogalkotó ezeket az aggályokat, ám azt sokáig nem tudta keresztülvinni. Az új Alaptörvény elfogadása és annak negyedik módosítása azonban már átszakította ezt a gátat is, s mindezek folyományaként meg is történtek az első lépések a gyűlöletbeszéd elleni küzdelem sikerének érdekében, melyek érdekes módon nem a büntető, hanem a polgári jog területén hoztak jelentős változásokat, az új Polgári Törvénykönyv (Ptk.) elfogadása és a Polgári perrendtartás (Pp.) módosítása révén.</w:t>
      </w:r>
      <w:r>
        <w:rPr>
          <w:color w:val="000000"/>
          <w:sz w:val="24"/>
          <w:szCs w:val="24"/>
        </w:rPr>
        <w:br/>
        <w:t xml:space="preserve">A dolgozat célja, hogy bemutassam ezt az évtizedes harcot és értékeljem az annak eredményeként kivívott új szabályozást. Ennek érdekében betekintést nyújtok a nemzetközi jog által meghatározott általános elvárásokba, valamint az Emberi Jogok Európai Bíróságának gyűlöletbeszéddel kapcsolatos ítélkezési gyakorlatába, mely a későbbiekben még különös jelentőséggel bírhat a magyarországi változások megítélése tekintetében. Ezt követően a gyűlöletbeszéd polgári jogi szankcióinak létjogosultságát vetem vizsgálat alá az Alkotmánybíróság álláspontját is felhívva, továbbá egy meghatározó jogeseten keresztül szemléltetve ismertetem a régi Ptk. jogalkalmazók általi hibás értelmezéséből fakadó problémákat is. Utóbbi kapcsán a helytelen bírósági gyakorlat által indukált, a polgári jog területén tett korábbi szabályozási kísérleteket is bemutatom. Zárásképpen pedig a hatályos szabályozást, az új Ptk. és a módosított Pp. vonatkozó rendelkezéseit ismertetem, rámutatva azok esetleges hibáira és a felmerülő alkotmányos aggályokra, valamint ezek orvoslásának lehetőségeire.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38968">
    <w:multiLevelType w:val="hybridMultilevel"/>
    <w:lvl w:ilvl="0" w:tplc="398573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38968">
    <w:abstractNumId w:val="503389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5074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