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PONGRACZ</w:t>
            </w:r>
          </w:p>
          <w:p w:rsidR="00C275A3" w:rsidRDefault="00A96AEC" w:rsidP="00C275A3">
            <w:pPr>
              <w:pStyle w:val="Hallgatokepzes"/>
            </w:pPr>
            <w:r>
              <w:t>Law</w:t>
            </w:r>
            <w:r>
              <w:br/>
            </w:r>
            <w:r w:rsidR="00E77B23">
              <w:t>Unified, 7.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Peter Smuk PhD</w:t>
            </w:r>
          </w:p>
          <w:p w:rsidR="00DB4822" w:rsidRDefault="00DB4822" w:rsidP="009763E0">
            <w:pPr>
              <w:pStyle w:val="Konzulensektitulus"/>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Fighting against hate speeches with the means of civil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Restricting hate speeches – with little excess – is an ‘evergreen’ topic for jurists, and with changing intensity the fierce debate is emerging again and again regarding where to lay its limits.</w:t>
      </w:r>
      <w:r>
        <w:rPr>
          <w:color w:val="000000"/>
          <w:sz w:val="24"/>
          <w:szCs w:val="24"/>
        </w:rPr>
        <w:br/>
        <w:t xml:space="preserve">In Hungary lawmakers have strived for widening the field of behaviour related to incitement against communities since the change of regime in the 1990s, and they also made attempts to enforce their endeavours in the field of civil law; however, these efforts were always toppled by the Constitutional Court for different, yet – behind the articles – the very same reason.</w:t>
      </w:r>
      <w:r>
        <w:rPr>
          <w:color w:val="000000"/>
          <w:sz w:val="24"/>
          <w:szCs w:val="24"/>
        </w:rPr>
        <w:br/>
        <w:t xml:space="preserve">This reason, given the ultima ratio nature of criminal law, was the disproportionate restriction of the right to free speech – in the case of attempts made in the field of civil law, the characteristics of the regulation led to anomalies and many other problems. It became clear that lawmakers could only eliminate these concerns by an aimed change of the Constitution, but for a long time they failed to succeed in this matter.</w:t>
      </w:r>
      <w:r>
        <w:rPr>
          <w:color w:val="000000"/>
          <w:sz w:val="24"/>
          <w:szCs w:val="24"/>
        </w:rPr>
        <w:br/>
        <w:t xml:space="preserve">However, the acceptance of the new Fundamental Law and its fourth amendment broke through this barrier and consequently, the first steps have been made in order to overcome hate speeches. Curiously, by the modification of the Civil Code and the Civic Judicial Procedure Code, civil law turned out to be the field where these efforts have brought significant changes, instead of criminal law.</w:t>
      </w:r>
      <w:r>
        <w:rPr>
          <w:color w:val="000000"/>
          <w:sz w:val="24"/>
          <w:szCs w:val="24"/>
        </w:rPr>
        <w:br/>
        <w:t xml:space="preserve">The goal of the essay is to present this struggle and to evaluate the new regulations as the result of a strife taking a decade. In order to do so, I provide insights into the basic expectations defined by international law as well as the jurisdiction of the European Court of Human Rights related to hate speeches. The latter may carry considerable weight regarding the judgment of changes in Hungary.</w:t>
      </w:r>
      <w:r>
        <w:rPr>
          <w:color w:val="000000"/>
          <w:sz w:val="24"/>
          <w:szCs w:val="24"/>
        </w:rPr>
        <w:br/>
        <w:t xml:space="preserve">Following this, I examine the raison d’être of the sanctions of civil law related to hate speeches by invoking the point of view of the Constitutional Court; plus, by the example of a notable case I review the problems deriving from the misinterpretation of the old Civil Code. In line with this, I expose the former regulatory attempts made in the field of civil law which were induced by the false tribunal practice.</w:t>
      </w:r>
      <w:r>
        <w:rPr>
          <w:color w:val="000000"/>
          <w:sz w:val="24"/>
          <w:szCs w:val="24"/>
        </w:rPr>
        <w:br/>
        <w:t xml:space="preserve">Finally, I present the current regulation laid in the new Civil Code and Civic Judicial Procedure Code, showing its faults as well as the emerging constitutional concerns and the possibilities how to redress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26656">
    <w:multiLevelType w:val="hybridMultilevel"/>
    <w:lvl w:ilvl="0" w:tplc="73966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26656">
    <w:abstractNumId w:val="50926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617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