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VIOLA SZABÓ</w:t>
            </w:r>
          </w:p>
          <w:p w:rsidR="00C275A3" w:rsidRDefault="00A96AEC" w:rsidP="00C275A3">
            <w:pPr>
              <w:pStyle w:val="Hallgatokepzes"/>
            </w:pPr>
            <w:r>
              <w:t>Department of Art and Art History</w:t>
            </w:r>
            <w:r>
              <w:br/>
            </w:r>
            <w:r w:rsidR="00E77B23">
              <w:t>BA,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Héjja</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Lines in space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basic idea was the starting point of the Hungarian folk art, including the most popular classical motifs weave geometric shapes, rhythm, ethos. The fundamental differenceis the weaving pattern perpendicular to the world of form that I have a modern graphics commonly used form of isometric world was used as a starting point. The main component of my job is the line. The line is the basic tools of visual between communication elements. I tried to convey with the line’s density and rarity of the dynamics, which is present in both of our folk art, thinking of folk music, folk dance, folk motives. This organizational structure is defined by the direction and position of the one I used / drawn lines. With the generated grid / grid density arbitrarily variable density I can change in the composition over a wide range of detail. Prior to installation, at the first time I made freehand drawings / sketches and the best compositions was realized as posters. Later, the best functioning compositions was made by three-dimensional model. For example, I was experimenting with glass opacity, which expands the possible points of view due to the ever-changing line situations densities. I also created an interior with a smaller compositions, resulting in a sense of space has increased significantly.</w:t>
      </w:r>
      <w:r>
        <w:rPr>
          <w:color w:val="000000"/>
          <w:sz w:val="24"/>
          <w:szCs w:val="24"/>
        </w:rPr>
        <w:drawing>
          <wp:inline distT="0" distB="0" distL="0" distR="0">
            <wp:extent cx="4982400" cy="3506400"/>
            <wp:docPr id="99383315" name="name154809b99c7396" descr="imgtmp_32322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322_int_1.gif"/>
                    <pic:cNvPicPr/>
                  </pic:nvPicPr>
                  <pic:blipFill>
                    <a:blip r:embed="rId154809b99c7342" cstate="print"/>
                    <a:stretch>
                      <a:fillRect/>
                    </a:stretch>
                  </pic:blipFill>
                  <pic:spPr>
                    <a:xfrm>
                      <a:off x="0" y="0"/>
                      <a:ext cx="4982400" cy="35064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22522">
    <w:multiLevelType w:val="hybridMultilevel"/>
    <w:lvl w:ilvl="0" w:tplc="63770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22522">
    <w:abstractNumId w:val="149225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957287" Type="http://schemas.openxmlformats.org/officeDocument/2006/relationships/numbering" Target="numbering.xml"/><Relationship Id="rId154809b99c7342" Type="http://schemas.openxmlformats.org/officeDocument/2006/relationships/image" Target="media/imgrId154809b99c734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