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SZŐCS CSONGOR-ERNŐ</w:t>
            </w:r>
          </w:p>
          <w:p w:rsidR="00C275A3" w:rsidRDefault="00A96AEC" w:rsidP="00C275A3">
            <w:pPr>
              <w:pStyle w:val="Hallgatokepzes"/>
            </w:pPr>
            <w:r>
              <w:t>Kutatásmódszertan és adatelemzés</w:t>
            </w:r>
            <w:r>
              <w:br/>
            </w:r>
            <w:r w:rsidR="00E77B23">
              <w:t>MA, 3. félév</w:t>
            </w:r>
          </w:p>
          <w:p w:rsidR="00C265CE" w:rsidRPr="009E5FF1" w:rsidRDefault="00E77B23" w:rsidP="00BA6BAF">
            <w:pPr>
              <w:pStyle w:val="Hallgatointezmeny-kar"/>
              <w:rPr>
                <w:b/>
                <w:caps/>
              </w:rPr>
            </w:pPr>
            <w:r>
              <w:t>Babes-Bolyai Tudományegyetem</w:t>
            </w:r>
            <w:r w:rsidR="00C275A3">
              <w:br/>
            </w:r>
            <w:r w:rsidR="00DB4822">
              <w:t>Politika-, Közigazgatás és Kommunikációtudomány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Nagy Gyula</w:t>
            </w:r>
          </w:p>
          <w:p w:rsidR="00DB4822" w:rsidRDefault="00DB4822" w:rsidP="00BA6BAF">
            <w:pPr>
              <w:pStyle w:val="Konzulensektitulus"/>
            </w:pPr>
            <w:r w:rsidRPr="00DB4822">
              <w:t>Főiskolai tanár,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román euró és a lakosság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euró, Románia, lakossági támogatottság, fizetőeszköz</w:t>
      </w:r>
      <w:r>
        <w:t xml:space="preserve"/>
      </w:r>
    </w:p>
    <w:p>
      <w:pPr>
        <w:widowControl w:val="on"/>
        <w:pBdr/>
        <w:spacing w:before="240" w:after="240" w:line="240" w:lineRule="auto"/>
        <w:ind w:left="0" w:right="0"/>
        <w:jc w:val="left"/>
      </w:pPr>
      <w:r>
        <w:rPr>
          <w:color w:val="000000"/>
          <w:sz w:val="24"/>
          <w:szCs w:val="24"/>
        </w:rPr>
        <w:t xml:space="preserve">Az árfolyamrendszerek több típusa ismert jelenleg a világban, de ezek két fő csoportra bonthatóak: a rögzített és a lebegő árfolyamot alkalmazó rendszerekére. Románia jelenleg egy lebegő árfolyamrendszert használ, de az ország gazdasága számos ponton függ a tagországok egymással szembeni árfolyamrögzítéseként értelmezhető eurózónától. Az országban végbement egy bizonyos fokú euroizáció, amely a kereskedelemben, a bankszektorban és az ország államadósságának a szerkezetében is nyomon követhető.</w:t>
      </w:r>
    </w:p>
    <w:p>
      <w:pPr>
        <w:widowControl w:val="on"/>
        <w:pBdr/>
        <w:spacing w:before="240" w:after="240" w:line="240" w:lineRule="auto"/>
        <w:ind w:left="0" w:right="0"/>
        <w:jc w:val="left"/>
      </w:pPr>
      <w:r>
        <w:rPr>
          <w:color w:val="000000"/>
          <w:sz w:val="24"/>
          <w:szCs w:val="24"/>
        </w:rPr>
        <w:t xml:space="preserve">Románia közelsége az euróhoz a maastrichti-kritériumok teljesítése, de a lakosság szintjén is észlelhető. Az Eurobarometer adatai azt mutatják, hogy Magyarország mellett Románia az az EU-s állam, ahol a lakosság többsége támogatja az euró bevezetését. Az euró bevezetésének a következményét az országra nézve a romániai lakosság ítéli meg a legkedvezőbben a 2004 után csatlakozott, de az eurót még be nem vezető EU-s tagországok közül.</w:t>
      </w:r>
    </w:p>
    <w:p>
      <w:pPr>
        <w:widowControl w:val="on"/>
        <w:pBdr/>
        <w:spacing w:before="240" w:after="240" w:line="240" w:lineRule="auto"/>
        <w:ind w:left="0" w:right="0"/>
        <w:jc w:val="left"/>
      </w:pPr>
      <w:r>
        <w:rPr>
          <w:color w:val="000000"/>
          <w:sz w:val="24"/>
          <w:szCs w:val="24"/>
        </w:rPr>
        <w:t xml:space="preserve">A dolgozatban bemutatott internetes közvélemény-kutatási adatokkal dolgozó, közel 7 ezer válaszadót bevonó EUVox romániai felmérésből kitűnik, hogy az euró támogatottsága 60% körüli Romániában, a közös európai fizetőeszköz bevezetését nagyobb mértékben támogatják a férfiak, a magasabb fokú végzettséggel rendelkezők, a politika iránt érdeklődők, valamint a romániai magyar kisebbség tagjai. Ezek csak a kutatás elsődleges eredményei, az újabb 20 ezer válaszadót bevonó, strukturális egyenleteket és faktoranalízist használó projekt célja, hogy megállapítsa, mennyire tartós az euró támogatására vagy elutasítására vonatkozó preferencia, illetve milyen egyéb szocio-demográfiai tényezőkkel illetve politikai opciókkal hozható összefüggésbe.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69138">
    <w:multiLevelType w:val="hybridMultilevel"/>
    <w:lvl w:ilvl="0" w:tplc="17529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69138">
    <w:abstractNumId w:val="21469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93509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