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CSONGOR-ERNŐ SZŐCS</w:t>
            </w:r>
          </w:p>
          <w:p w:rsidR="00C275A3" w:rsidRDefault="00A96AEC" w:rsidP="00C275A3">
            <w:pPr>
              <w:pStyle w:val="Hallgatokepzes"/>
            </w:pPr>
            <w:r>
              <w:t>Research design and data analysis</w:t>
            </w:r>
            <w:r>
              <w:br/>
            </w:r>
            <w:r w:rsidR="00E77B23">
              <w:t>MA, 3. semester</w:t>
            </w:r>
          </w:p>
          <w:p w:rsidR="00C265CE" w:rsidRPr="009E5FF1" w:rsidRDefault="00E77B23" w:rsidP="00C275A3">
            <w:pPr>
              <w:pStyle w:val="Hallgatokepzes"/>
              <w:rPr>
                <w:b/>
                <w:caps/>
              </w:rPr>
            </w:pPr>
            <w:r>
              <w:t>Babes-Bolyai University</w:t>
            </w:r>
            <w:r w:rsidR="00C275A3">
              <w:br/>
            </w:r>
            <w:r w:rsidR="00DB4822">
              <w:t>College of Political, Administrative and Communication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Nagy </w:t>
            </w:r>
          </w:p>
          <w:p w:rsidR="00DB4822" w:rsidRDefault="00DB4822" w:rsidP="00E11062">
            <w:pPr>
              <w:pStyle w:val="Konzulensek"/>
            </w:pPr>
            <w:r w:rsidRPr="00DB4822">
              <w:t>college proffesor,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Romanian Euro and the public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 Romania, public support, currency</w:t>
      </w:r>
      <w:r>
        <w:t xml:space="preserve"/>
      </w:r>
    </w:p>
    <w:p>
      <w:pPr>
        <w:widowControl w:val="on"/>
        <w:pBdr/>
        <w:spacing w:before="240" w:after="240" w:line="240" w:lineRule="auto"/>
        <w:ind w:left="0" w:right="0"/>
        <w:jc w:val="left"/>
      </w:pPr>
      <w:r>
        <w:rPr>
          <w:color w:val="000000"/>
          <w:sz w:val="24"/>
          <w:szCs w:val="24"/>
        </w:rPr>
        <w:t xml:space="preserve">Several types of exchange rate regimes are currently known in the world, but they can be grouped basically in two separate groups: fixed and floating systems. Romania currently uses a floating exchange rate regime, but the economy of the country is linked with several tiles to the Eurozone, which in fact acts like a fixed exchange rate system between the members. In Romania can be tracked a certain degree of euroization, observable in retail, bank sector and the structure of the country's sovereign debt.</w:t>
      </w:r>
    </w:p>
    <w:p>
      <w:pPr>
        <w:widowControl w:val="on"/>
        <w:pBdr/>
        <w:spacing w:before="240" w:after="240" w:line="240" w:lineRule="auto"/>
        <w:ind w:left="0" w:right="0"/>
        <w:jc w:val="left"/>
      </w:pPr>
      <w:r>
        <w:rPr>
          <w:color w:val="000000"/>
          <w:sz w:val="24"/>
          <w:szCs w:val="24"/>
        </w:rPr>
        <w:t xml:space="preserve">The closeness of Romania to the Euro may be assessed not only by the fulfillment stage of the Maastricht-criteria, but also on the level of the population. Eurobarometer data shows that only in Romania and Hungary does the majority of the public support the introduction of the euro. The consequences of joining the Eurozone is most favorably assed in Romania when analyzing countries joining the EU after 2004 but yet not introducing the common currency.</w:t>
      </w:r>
    </w:p>
    <w:p>
      <w:pPr>
        <w:widowControl w:val="on"/>
        <w:pBdr/>
        <w:spacing w:before="240" w:after="240" w:line="240" w:lineRule="auto"/>
        <w:ind w:left="0" w:right="0"/>
        <w:jc w:val="left"/>
      </w:pPr>
      <w:r>
        <w:rPr>
          <w:color w:val="000000"/>
          <w:sz w:val="24"/>
          <w:szCs w:val="24"/>
        </w:rPr>
        <w:t xml:space="preserve">The EuVox internet public survey analyzed in this thesis uses more than 7 thousand responses and shows that 60% of the population supports the introduction of the euro with higher support among male, people obtaining higher levels of education, those who are interested in politics and the Hungarian minority from Romania. These are just the primary results of the research, which, introducing another 20 thousand responses will analyze, how deep and long-lasting is the support for the euro and what is its relation to certain socio-demographic factors or political options.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31962">
    <w:multiLevelType w:val="hybridMultilevel"/>
    <w:lvl w:ilvl="0" w:tplc="51061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31962">
    <w:abstractNumId w:val="66031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854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