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MÁNDOKI</w:t>
            </w:r>
          </w:p>
          <w:p w:rsidR="00C275A3" w:rsidRDefault="00A96AEC" w:rsidP="00C275A3">
            <w:pPr>
              <w:pStyle w:val="Hallgatokepzes"/>
            </w:pPr>
            <w:r>
              <w:t>Master Program in Architectural Engineering (5 year integrated)</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PÉTER PÁL THER</w:t>
            </w:r>
          </w:p>
          <w:p w:rsidR="00DB4822" w:rsidRDefault="00C275A3" w:rsidP="004D7940">
            <w:pPr>
              <w:pStyle w:val="Hallgatokepzes"/>
            </w:pPr>
            <w:r>
              <w:t>Master Program in Architectural Engineering (5 year integrated)</w:t>
            </w:r>
            <w:r w:rsidR="00A96AEC">
              <w:br/>
              <w:t>Unified,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TOMASOVSZKY</w:t>
            </w:r>
          </w:p>
          <w:p w:rsidR="00C275A3" w:rsidRDefault="00A96AEC" w:rsidP="00C275A3">
            <w:pPr>
              <w:pStyle w:val="Hallgatokepzes"/>
            </w:pPr>
            <w:r>
              <w:t>Master Program in Architectural Engineering (5 year integrated)</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Domokos </w:t>
            </w:r>
          </w:p>
          <w:p w:rsidR="00DB4822" w:rsidRDefault="00DB4822" w:rsidP="00E11062">
            <w:pPr>
              <w:pStyle w:val="Konzulensek"/>
            </w:pPr>
            <w:r w:rsidRPr="00DB4822">
              <w:t>DSc, dr. habil,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Truncations and stars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Truncations and stars</w:t>
      </w:r>
    </w:p>
    <w:p>
      <w:pPr>
        <w:widowControl w:val="on"/>
        <w:pBdr/>
        <w:spacing w:before="240" w:after="240" w:line="240" w:lineRule="auto"/>
        <w:ind w:left="0" w:right="0"/>
        <w:jc w:val="left"/>
      </w:pPr>
      <w:r>
        <w:rPr>
          <w:color w:val="000000"/>
          <w:sz w:val="24"/>
          <w:szCs w:val="24"/>
        </w:rPr>
        <w:t xml:space="preserve">In our study one-parameter S (λ) plane figures are cut with lines that close an angle δ with a predefined specific direction and which go through S (λ)'s centre of gravity. Out of the the possible starting S (λ) figures we have studied triangles, rectangles, rhombuses, regular polygons and regular stars.</w:t>
      </w:r>
    </w:p>
    <w:p>
      <w:pPr>
        <w:widowControl w:val="on"/>
        <w:pBdr/>
        <w:spacing w:before="240" w:after="240" w:line="240" w:lineRule="auto"/>
        <w:ind w:left="0" w:right="0"/>
        <w:jc w:val="left"/>
      </w:pPr>
      <w:r>
        <w:rPr>
          <w:color w:val="000000"/>
          <w:sz w:val="24"/>
          <w:szCs w:val="24"/>
        </w:rPr>
        <w:t xml:space="preserve">Th planar figures s (λ, δ) resulting from the above-mentioned trunctation are examined as rigid bodies. We denote the number of their static equilibrium points by N, thus N (λ, δ) is an integer-valued function with two real variables. On the (λ, δ) plane the discontinuities of the function define curves. The intersections of these curves are called points of bifurcation. In the close neighborhood of these points the geometry becomes extremely sensitive to even the smallest change of the parameters.</w:t>
      </w:r>
    </w:p>
    <w:p>
      <w:pPr>
        <w:widowControl w:val="on"/>
        <w:pBdr/>
        <w:spacing w:before="240" w:after="240" w:line="240" w:lineRule="auto"/>
        <w:ind w:left="0" w:right="0"/>
        <w:jc w:val="left"/>
      </w:pPr>
      <w:r>
        <w:rPr>
          <w:color w:val="000000"/>
          <w:sz w:val="24"/>
          <w:szCs w:val="24"/>
        </w:rPr>
        <w:t xml:space="preserve">When analysing figures defined by these points or points nearby, our basic intuition turns out not to be true. This is what necessitates a deeper understandig of this phenomenon both from an engineering and a design perspective. .</w:t>
      </w:r>
    </w:p>
    <w:p>
      <w:pPr>
        <w:widowControl w:val="on"/>
        <w:pBdr/>
        <w:spacing w:before="240" w:after="240" w:line="240" w:lineRule="auto"/>
        <w:ind w:left="0" w:right="0"/>
        <w:jc w:val="left"/>
      </w:pPr>
      <w:r>
        <w:rPr>
          <w:color w:val="000000"/>
          <w:sz w:val="24"/>
          <w:szCs w:val="24"/>
        </w:rPr>
        <w:t xml:space="preserve">The bifurcation that we present in our study is analogous to the previously studied mechanical phenomenon of elastic stability loss. We aimed to show that it is possible to encounter a mathematically and mechanically similar phenomenon in much simpler systems as well. We also hope that this study can bring us closer to a better understanding of elastic stability.</w:t>
      </w:r>
    </w:p>
    <w:p>
      <w:pPr>
        <w:widowControl w:val="on"/>
        <w:pBdr/>
        <w:spacing w:before="240" w:after="240" w:line="240" w:lineRule="auto"/>
        <w:ind w:left="0" w:right="0"/>
        <w:jc w:val="left"/>
      </w:pPr>
      <w:r>
        <w:rPr>
          <w:color w:val="000000"/>
          <w:sz w:val="24"/>
          <w:szCs w:val="24"/>
        </w:rPr>
        <w:t xml:space="preserve">The presented bifurcations can also facilitate a deeper understanding of some surface evolution processes in nature, where a similar phenomenon occur during the physical deformation of bodies.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42343">
    <w:multiLevelType w:val="hybridMultilevel"/>
    <w:lvl w:ilvl="0" w:tplc="67395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42343">
    <w:abstractNumId w:val="43542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819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