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BARDÓCZI ALEXANDRA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ÖTVÖS TAMÁS PÉTER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Julianna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Szendrei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Alternatívák – Példák hazai közösségi részvételen alapuló fejlesztésekre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’60-as, ’70-es években az USA-ban és Nyugat-Európában egyre jobban felerősödött a helyi lakosság városfejlesztésbe való bevonásának igénye. Ez azt jelentette, hogy a civil kezdeményezések a politikai diskurzusba való bekapcsolódására való törekvés egészen hamar jelentkezett. Ennek ellenére a participatív városfejlesztés kialakulása illetve első példáinak megjelenése csak később realizálódott. Ennek a folyamatnak eredményeként a városokban, településeken olyan fejlesztések jelentek meg, amelyek a helyi lakosság vagy közösség konkrét igényeit és elképzeléseit jobban figyelembe veszik, mint a hagyományosnak tekinthető városi beavatkozások esetében.</w:t>
      </w:r>
      <w:r>
        <w:rPr>
          <w:color w:val="000000"/>
          <w:sz w:val="24"/>
          <w:szCs w:val="24"/>
        </w:rPr>
        <w:br/>
        <w:t xml:space="preserve">Az ezredforduló után hazánkban is megjelentek ilyen vagy ehhez hasonló fejlesztések, melyek alulról - lakosság felől - vagy felülről – a döntéshozók felől – jövő kezdeményezésűek lehettek. Az ilyen beavatkozások hosszas szakmai diskurzusok eredményei, melyeknél a közösség aktívan részt vesz a folyamatban – a folyamat egészében, vagy annak csak egy bizonyos részében.</w:t>
      </w:r>
      <w:r>
        <w:rPr>
          <w:color w:val="000000"/>
          <w:sz w:val="24"/>
          <w:szCs w:val="24"/>
        </w:rPr>
        <w:br/>
        <w:t xml:space="preserve">2013 augusztusában lehetőségünk volt Ajka városában egy kutatást végezni, melyben arra voltunk kíváncsiak, hogy a participáció egy alacsony szintje, melyet könnyen megvalósíthatónak tartottunk mennyire aktivizálhatná a helyi lakosságot. Az eredményeink alapján elmondható, hogy alapvetően lenne igény a fejlesztésre, ugyanakkor a sok elutasító válasz azt igazolja, hogy a participáció ezen szintje, vagy módszere kevéssé adaptálható ebbe a konkrét szituációba.</w:t>
      </w:r>
      <w:r>
        <w:rPr>
          <w:color w:val="000000"/>
          <w:sz w:val="24"/>
          <w:szCs w:val="24"/>
        </w:rPr>
        <w:br/>
        <w:t xml:space="preserve">Ezt követően megvizsgáltunk egyéb, már megvalósult olyan hazai fejlesztéseket, melyekben a helyi közösségek valamilyen módon aktívak részt vettek a folyamatban. Ezeket összehasonlítva az egyes esettanulmányok pozitívumait és negatívumait elemezve határoztuk meg, hogy milyen tényezők hogyan befolyásolják a közösségi részvételen alapuló fejlesztései folyamatokat és azokban az építész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Fontosabb szakirodalmak:</w:t>
      </w:r>
      <w:r>
        <w:rPr>
          <w:color w:val="000000"/>
          <w:sz w:val="24"/>
          <w:szCs w:val="24"/>
        </w:rPr>
        <w:br/>
        <w:t xml:space="preserve">Csanádi Gábor - Csizmady Adrienne - Kocsis Balázs - Kőszeghy Lea - Tomay Kyra: Város Tervező Társadalom, Sík Kiadó, Budapest 2010</w:t>
      </w:r>
      <w:r>
        <w:rPr>
          <w:color w:val="000000"/>
          <w:sz w:val="24"/>
          <w:szCs w:val="24"/>
        </w:rPr>
        <w:br/>
        <w:t xml:space="preserve">Dömötör Tamás: Közösségi részvétel a területi tervezésben, PhD dolgozat</w:t>
      </w:r>
      <w:r>
        <w:rPr>
          <w:color w:val="000000"/>
          <w:sz w:val="24"/>
          <w:szCs w:val="24"/>
        </w:rPr>
        <w:br/>
        <w:t xml:space="preserve">Hauptmann, Éléonore – Wates, Nick: Concertation citoyenne en urbanisme – La méthode du Community Planning, éditions Yves Michel, Paris, 2010</w:t>
      </w:r>
      <w:r>
        <w:rPr>
          <w:color w:val="000000"/>
          <w:sz w:val="24"/>
          <w:szCs w:val="24"/>
        </w:rPr>
        <w:br/>
        <w:t xml:space="preserve">Kukucska Gergely: Participativitás és építlészet</w:t>
      </w:r>
      <w:r>
        <w:rPr>
          <w:color w:val="000000"/>
          <w:sz w:val="24"/>
          <w:szCs w:val="24"/>
        </w:rPr>
        <w:br/>
        <w:t xml:space="preserve">http://www.nexthamburg.de/</w:t>
      </w:r>
      <w:r>
        <w:rPr>
          <w:color w:val="000000"/>
          <w:sz w:val="24"/>
          <w:szCs w:val="24"/>
        </w:rPr>
        <w:br/>
        <w:t xml:space="preserve">http://www.magdolnanegyed.info.hu/</w:t>
      </w:r>
      <w:r>
        <w:rPr>
          <w:color w:val="000000"/>
          <w:sz w:val="24"/>
          <w:szCs w:val="24"/>
        </w:rPr>
        <w:br/>
        <w:t xml:space="preserve">http://kozossegikertek.hu/</w:t>
      </w:r>
      <w:r>
        <w:rPr>
          <w:color w:val="000000"/>
          <w:sz w:val="24"/>
          <w:szCs w:val="24"/>
        </w:rPr>
        <w:br/>
        <w:t xml:space="preserve">http://www.pallai.hu/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25572">
    <w:multiLevelType w:val="hybridMultilevel"/>
    <w:lvl w:ilvl="0" w:tplc="55765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25572">
    <w:abstractNumId w:val="371255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165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