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BARDÓCZI</w:t>
            </w:r>
          </w:p>
          <w:p w:rsidR="00C275A3" w:rsidRDefault="00A96AEC" w:rsidP="00C275A3">
            <w:pPr>
              <w:pStyle w:val="Hallgatokepzes"/>
            </w:pPr>
            <w:r>
              <w:t>architecture</w:t>
            </w:r>
            <w:r>
              <w:br/>
            </w:r>
            <w:r w:rsidR="00E77B23">
              <w:t>Unified, 10.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TAMÁS PÉTER ÖTVÖS</w:t>
            </w:r>
          </w:p>
          <w:p w:rsidR="00DB4822" w:rsidRDefault="00C275A3" w:rsidP="004D7940">
            <w:pPr>
              <w:pStyle w:val="Hallgatokepzes"/>
            </w:pPr>
            <w:r>
              <w:t>Architect</w:t>
            </w:r>
            <w:r w:rsidR="00A96AEC">
              <w:br/>
              <w:t>Unified, 10.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Julianna Szabó PhD</w:t>
            </w:r>
          </w:p>
          <w:p w:rsidR="00DB4822" w:rsidRDefault="00DB4822" w:rsidP="009763E0">
            <w:pPr>
              <w:pStyle w:val="Konzulensektitulus"/>
            </w:pPr>
            <w:r w:rsidRPr="00DB4822">
              <w:t>associate professor, BME ÉPK</w:t>
            </w:r>
          </w:p>
        </w:tc>
      </w:tr>
      <w:tr w:rsidR="00DB4822" w:rsidTr="00DB4822">
        <w:tc>
          <w:tcPr>
            <w:tcW w:w="9854" w:type="dxa"/>
          </w:tcPr>
          <w:p w:rsidR="00DB4822" w:rsidRPr="00DB4822" w:rsidRDefault="00DB4822" w:rsidP="009763E0">
            <w:pPr>
              <w:pStyle w:val="Konzulenseknev"/>
            </w:pPr>
            <w:r w:rsidRPr="00DB4822">
              <w:t>Imre Varga</w:t>
            </w:r>
          </w:p>
          <w:p w:rsidR="00DB4822" w:rsidRDefault="00DB4822" w:rsidP="009763E0">
            <w:pPr>
              <w:pStyle w:val="Konzulensektitulus"/>
            </w:pPr>
            <w:r w:rsidRPr="00DB4822">
              <w:t>research fellow, BME ÉPK</w:t>
            </w:r>
          </w:p>
        </w:tc>
      </w:tr>
      <w:tr w:rsidR="00DB4822" w:rsidTr="00DB4822">
        <w:tc>
          <w:tcPr>
            <w:tcW w:w="9854" w:type="dxa"/>
          </w:tcPr>
          <w:p w:rsidR="00DB4822" w:rsidRPr="00DB4822" w:rsidRDefault="00DB4822" w:rsidP="009763E0">
            <w:pPr>
              <w:pStyle w:val="Konzulenseknev"/>
            </w:pPr>
            <w:r w:rsidRPr="00DB4822">
              <w:t>Zsolt Szendrei</w:t>
            </w:r>
          </w:p>
          <w:p w:rsidR="00DB4822" w:rsidRDefault="00DB4822" w:rsidP="009763E0">
            <w:pPr>
              <w:pStyle w:val="Konzulensektitulus"/>
            </w:pPr>
            <w:r w:rsidRPr="00DB4822">
              <w:t>PhD student,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Alternatives Hungarian examples of participatory developments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60’s, 70’s the demand of the local communities on being integrated in urban development was getting more intense. Nevertheless the first examples of participatory developments appeared later. As a result of this progress the participatory urban developments react more finely to the specific needs and thoughts of the local communities.</w:t>
      </w:r>
    </w:p>
    <w:p>
      <w:pPr>
        <w:widowControl w:val="on"/>
        <w:pBdr/>
        <w:spacing w:before="240" w:after="240" w:line="240" w:lineRule="auto"/>
        <w:ind w:left="0" w:right="0"/>
        <w:jc w:val="left"/>
      </w:pPr>
      <w:r>
        <w:rPr>
          <w:color w:val="000000"/>
          <w:sz w:val="24"/>
          <w:szCs w:val="24"/>
        </w:rPr>
        <w:t xml:space="preserve">After the year 2000 these kind of urban projects appeared as well in Hungary whose initiative could come either from the stakeholders, decision-makers or from the communities. The participatory developments are the effects of a complex professional dialogue where the local communities are often integrated either in the whole process or only in its specific part.</w:t>
      </w:r>
      <w:r>
        <w:rPr>
          <w:color w:val="000000"/>
          <w:sz w:val="24"/>
          <w:szCs w:val="24"/>
        </w:rPr>
        <w:br/>
        <w:t xml:space="preserve">In August 2013 we had the opportunity to do a urban research in the town of Ajka where we measured the reaction of a community at the idea of a participatory development of a lower level. Our results showed that there would be a need for the development although the method we measured would not be appropriate in this situation.</w:t>
      </w:r>
    </w:p>
    <w:p>
      <w:pPr>
        <w:widowControl w:val="on"/>
        <w:pBdr/>
        <w:spacing w:before="240" w:after="240" w:line="240" w:lineRule="auto"/>
        <w:ind w:left="0" w:right="0"/>
        <w:jc w:val="left"/>
      </w:pPr>
      <w:r>
        <w:rPr>
          <w:color w:val="000000"/>
          <w:sz w:val="24"/>
          <w:szCs w:val="24"/>
        </w:rPr>
        <w:t xml:space="preserve">Afterwards we observed other participatory developments of differents kinds where the local people was somehow involved in the development process. Comparing these examples we determined certain factors that influence the achievement of the participatory development projects.</w:t>
      </w:r>
    </w:p>
    <w:p>
      <w:pPr>
        <w:widowControl w:val="on"/>
        <w:pBdr/>
        <w:spacing w:before="240" w:after="240" w:line="240" w:lineRule="auto"/>
        <w:ind w:left="0" w:right="0"/>
        <w:jc w:val="left"/>
      </w:pPr>
      <w:r>
        <w:rPr>
          <w:color w:val="000000"/>
          <w:sz w:val="24"/>
          <w:szCs w:val="24"/>
        </w:rPr>
        <w:t xml:space="preserve">Bibliography:</w:t>
      </w:r>
      <w:r>
        <w:rPr>
          <w:color w:val="000000"/>
          <w:sz w:val="24"/>
          <w:szCs w:val="24"/>
        </w:rPr>
        <w:br/>
        <w:t xml:space="preserve">Csanádi Gábor - Csizmady Adrienne - Kocsis Balázs - Kőszeghy Lea - Tomay Kyra: Város Tervező Társadalom, Sík Kiadó, Budapest 2010</w:t>
      </w:r>
      <w:r>
        <w:rPr>
          <w:color w:val="000000"/>
          <w:sz w:val="24"/>
          <w:szCs w:val="24"/>
        </w:rPr>
        <w:br/>
        <w:t xml:space="preserve">Dömötör Tamás: Közösségi részvétel a területi tervezésben, PhD dolgozat</w:t>
      </w:r>
      <w:r>
        <w:rPr>
          <w:color w:val="000000"/>
          <w:sz w:val="24"/>
          <w:szCs w:val="24"/>
        </w:rPr>
        <w:br/>
        <w:t xml:space="preserve">Hauptmann, Éléonore – Wates, Nick: Concertation citoyenne en urbanisme – La méthode du Community Planning, éditions Yves Michel, Paris, 2010</w:t>
      </w:r>
      <w:r>
        <w:rPr>
          <w:color w:val="000000"/>
          <w:sz w:val="24"/>
          <w:szCs w:val="24"/>
        </w:rPr>
        <w:br/>
        <w:t xml:space="preserve">Kukucska Gergely: Participativitás és építlészet</w:t>
      </w:r>
      <w:r>
        <w:rPr>
          <w:color w:val="000000"/>
          <w:sz w:val="24"/>
          <w:szCs w:val="24"/>
        </w:rPr>
        <w:br/>
        <w:t xml:space="preserve">http://www.nexthamburg.de/</w:t>
      </w:r>
      <w:r>
        <w:rPr>
          <w:color w:val="000000"/>
          <w:sz w:val="24"/>
          <w:szCs w:val="24"/>
        </w:rPr>
        <w:br/>
        <w:t xml:space="preserve">http://www.magdolnanegyed.info.hu/</w:t>
      </w:r>
      <w:r>
        <w:rPr>
          <w:color w:val="000000"/>
          <w:sz w:val="24"/>
          <w:szCs w:val="24"/>
        </w:rPr>
        <w:br/>
        <w:t xml:space="preserve">http://kozossegikertek.hu/</w:t>
      </w:r>
      <w:r>
        <w:rPr>
          <w:color w:val="000000"/>
          <w:sz w:val="24"/>
          <w:szCs w:val="24"/>
        </w:rPr>
        <w:br/>
        <w:t xml:space="preserve">http://www.pallai.hu/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48749">
    <w:multiLevelType w:val="hybridMultilevel"/>
    <w:lvl w:ilvl="0" w:tplc="78553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48749">
    <w:abstractNumId w:val="20648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138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