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REGINA BALLA</w:t>
            </w:r>
          </w:p>
          <w:p w:rsidR="00C275A3" w:rsidRDefault="00A96AEC" w:rsidP="00C275A3">
            <w:pPr>
              <w:pStyle w:val="Hallgatokepzes"/>
            </w:pPr>
            <w:r>
              <w:t>architecture</w:t>
            </w:r>
            <w:r>
              <w:br/>
            </w:r>
            <w:r w:rsidR="00E77B23">
              <w:t>Unified, 8.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Melinda Benkő Dla</w:t>
            </w:r>
          </w:p>
          <w:p w:rsidR="00DB4822" w:rsidRDefault="00DB4822" w:rsidP="00E11062">
            <w:pPr>
              <w:pStyle w:val="Konzulensek"/>
            </w:pPr>
            <w:r w:rsidRPr="00DB4822">
              <w:t>associate professor, BME ÉPK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Horizontal gap: the ground floor zone of block of flats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Hungary every fifth person lives in block of flat, in large prefabricated housing estate. The technological modernization of blocks was going on, but the improvement of housing conditions is not able to solve the residential society's problems. There is a basic physical and virtual gap, which obstructs the effective intervention: the ground floor. My study bases on literature, construction catalogs and locality visiting, which can typify the community living space of the residential society, the ground floor zone. In my study urban, exterior and interior architectural elements are looked for, which affect on the development of ground floor. Based on the analysis can be shown, that the undervaluation of this transition zone has obstacle to the revitalization of panel houses. The typology helps the physical and social renewal of houses and supports a complex professional approach.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944393">
    <w:multiLevelType w:val="hybridMultilevel"/>
    <w:lvl w:ilvl="0" w:tplc="286300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944393">
    <w:abstractNumId w:val="649443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20113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