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BALOGH</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Alexandra Stayer-Harci</w:t>
            </w:r>
          </w:p>
          <w:p w:rsidR="00DB4822" w:rsidRDefault="00DB4822" w:rsidP="00E11062">
            <w:pPr>
              <w:pStyle w:val="Konzulensek"/>
            </w:pPr>
            <w:r w:rsidRPr="00DB4822">
              <w:t>professor’s assistant,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Signaling connections of Urocortin2 in PC12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Urocortins (Ucn) are ligands of corticotropin-releasing factor (CRF) receptors and have 3 different types called urocortin 1, 2 and 3. CRF receptors exist as two main isoforms: CRF-R1 and CRF-R2. Ucn1 binds to receptor type 1 but Ucn2 and Ucn3 have higher affinity towards the type 2 receptor. CRF-R1 is expressed in the brain and in the pituitary gland whereas CRF-R2 predominates in the central nervous system, the heart, peripheral organs, the brain, epididymis and in the intestinal tract.</w:t>
      </w:r>
      <w:r>
        <w:rPr>
          <w:color w:val="000000"/>
          <w:sz w:val="24"/>
          <w:szCs w:val="24"/>
        </w:rPr>
        <w:br/>
        <w:t xml:space="preserve">Urocortins have important roles in the control of stress response, anxiety, alcohol consumption, hemodynamic and neuro humoral regulation, in the physiology of the heart and circulation and also in pathological alterations of these systems. Urocortin can regulate the hypophysis pituitary adrenal axis, the immune system, behavior and general well-being.</w:t>
      </w:r>
      <w:r>
        <w:rPr>
          <w:color w:val="000000"/>
          <w:sz w:val="24"/>
          <w:szCs w:val="24"/>
        </w:rPr>
        <w:br/>
        <w:t xml:space="preserve">Urocortin2 is produced in the brain and can pass through the blood-brain barrier. It is also expressed together with its receptor in the adrenal medulla from where the rat pheochromocytoma cell line (PC12) have been derived. In this cell line system Ucn2 can increase the level of cyclic AMP (cAMP) that leads to the secretion of noradrenalin. It also causes the activation of proteinkinaseA and the phosphorylation of ERK proteins that in turn control the biosynthesis of catecholamines.</w:t>
      </w:r>
      <w:r>
        <w:rPr>
          <w:color w:val="000000"/>
          <w:sz w:val="24"/>
          <w:szCs w:val="24"/>
        </w:rPr>
        <w:br/>
        <w:t xml:space="preserve">Upon treatment of PC12 cells with Urocortin2 or nerve growth factor (NGF) the phosphorylation of ERK becomes elevated. However, if both agents are used simultaneously in these cells the activation of ERK is weaker. To find out the mechanism of these antagonistic effects we used various mutant cell lines. The activation of ERK was measured by Western blotting and immunocytochemistry. Densitometry of the Western signals was followed by statistical analysis.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50071">
    <w:multiLevelType w:val="hybridMultilevel"/>
    <w:lvl w:ilvl="0" w:tplc="89871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50071">
    <w:abstractNumId w:val="76650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055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