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LILI VERONIKA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Hernádi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dopaminerg neurotranszmisszió in vivo voltammetriás vizsgálata emlős agyban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dopaminerg neurotranszmisszió in vivo voltammetriás vizsgálata emlős agyban</w:t>
      </w:r>
      <w:r>
        <w:rPr>
          <w:color w:val="000000"/>
          <w:sz w:val="24"/>
          <w:szCs w:val="24"/>
        </w:rPr>
        <w:br/>
        <w:br/>
        <w:t xml:space="preserve">A neurotranszmitterek hatásmechanizmusának ismerete fontos kiindulópont a bonyolultabb</w:t>
      </w:r>
      <w:r>
        <w:rPr>
          <w:color w:val="000000"/>
          <w:sz w:val="24"/>
          <w:szCs w:val="24"/>
        </w:rPr>
        <w:br/>
        <w:t xml:space="preserve">agyi folyamatok megértésében, így a hibás működések kezelésében is létfontosságú. A</w:t>
      </w:r>
      <w:r>
        <w:rPr>
          <w:color w:val="000000"/>
          <w:sz w:val="24"/>
          <w:szCs w:val="24"/>
        </w:rPr>
        <w:br/>
        <w:t xml:space="preserve">dopamin (DA) a katekolaminok közé tartozó neurotranszmitter molekula, szintézise tirozinból</w:t>
      </w:r>
      <w:r>
        <w:rPr>
          <w:color w:val="000000"/>
          <w:sz w:val="24"/>
          <w:szCs w:val="24"/>
        </w:rPr>
        <w:br/>
        <w:t xml:space="preserve">indul ki. A dopaminerg (DA-erg) rendszer fontos szerepet tölt be a magatartásszabályozásban,</w:t>
      </w:r>
      <w:r>
        <w:rPr>
          <w:color w:val="000000"/>
          <w:sz w:val="24"/>
          <w:szCs w:val="24"/>
        </w:rPr>
        <w:br/>
        <w:t xml:space="preserve">hatással lehet a motoros funkciókra, a kognitív folyamatokra és az endokrin rendszerre is.</w:t>
      </w:r>
      <w:r>
        <w:rPr>
          <w:color w:val="000000"/>
          <w:sz w:val="24"/>
          <w:szCs w:val="24"/>
        </w:rPr>
        <w:br/>
        <w:br/>
        <w:t xml:space="preserve">A voltammetria az elektroanalitikai eljárások közé sorolható, amely jó tér- és időbeli</w:t>
      </w:r>
      <w:r>
        <w:rPr>
          <w:color w:val="000000"/>
          <w:sz w:val="24"/>
          <w:szCs w:val="24"/>
        </w:rPr>
        <w:br/>
        <w:t xml:space="preserve">felbontóképességgel rendelkezik és a szelektivitás terén is érzékeny módszer. Segítségével a</w:t>
      </w:r>
      <w:r>
        <w:rPr>
          <w:color w:val="000000"/>
          <w:sz w:val="24"/>
          <w:szCs w:val="24"/>
        </w:rPr>
        <w:br/>
        <w:t xml:space="preserve">DA felszabadulás kinetikáját tudjuk vizsgálni in vivo körülmények között. A DA</w:t>
      </w:r>
      <w:r>
        <w:rPr>
          <w:color w:val="000000"/>
          <w:sz w:val="24"/>
          <w:szCs w:val="24"/>
        </w:rPr>
        <w:br/>
        <w:t xml:space="preserve">detektálásának alapja a molekula redoxi változásának hatására kialakuló elektronmozgás</w:t>
      </w:r>
      <w:r>
        <w:rPr>
          <w:color w:val="000000"/>
          <w:sz w:val="24"/>
          <w:szCs w:val="24"/>
        </w:rPr>
        <w:br/>
        <w:t xml:space="preserve">okozta áramerősség mérése. A voltammetriás mérőrendszer egy munkaelektródból</w:t>
      </w:r>
      <w:r>
        <w:rPr>
          <w:color w:val="000000"/>
          <w:sz w:val="24"/>
          <w:szCs w:val="24"/>
        </w:rPr>
        <w:br/>
        <w:t xml:space="preserve">(egycsatornás szénszálas mikroelektród) és egy referencia elektródból (Ag/AgCl-elektród) áll.</w:t>
      </w:r>
      <w:r>
        <w:rPr>
          <w:color w:val="000000"/>
          <w:sz w:val="24"/>
          <w:szCs w:val="24"/>
        </w:rPr>
        <w:br/>
        <w:t xml:space="preserve">Emellett, a mérések során az endogén dopamin felszabadításához egy stimuláló elektródot is</w:t>
      </w:r>
      <w:r>
        <w:rPr>
          <w:color w:val="000000"/>
          <w:sz w:val="24"/>
          <w:szCs w:val="24"/>
        </w:rPr>
        <w:br/>
        <w:t xml:space="preserve">használtunk. </w:t>
      </w:r>
      <w:r>
        <w:rPr>
          <w:color w:val="000000"/>
          <w:sz w:val="24"/>
          <w:szCs w:val="24"/>
        </w:rPr>
        <w:br/>
        <w:br/>
        <w:t xml:space="preserve">A DA-szint változásának detektálását altatott patkányban végeztük. A ventrális tegmentális</w:t>
      </w:r>
      <w:r>
        <w:rPr>
          <w:color w:val="000000"/>
          <w:sz w:val="24"/>
          <w:szCs w:val="24"/>
        </w:rPr>
        <w:br/>
        <w:t xml:space="preserve">területet a stimuláló elektród segítségével körülbelül három percenként ingereltük</w:t>
      </w:r>
      <w:r>
        <w:rPr>
          <w:color w:val="000000"/>
          <w:sz w:val="24"/>
          <w:szCs w:val="24"/>
        </w:rPr>
        <w:br/>
        <w:t xml:space="preserve">elektromosan, ennek hatására a nucleus accumbensbe bevezetett szénszálas mikroelektród</w:t>
      </w:r>
      <w:r>
        <w:rPr>
          <w:color w:val="000000"/>
          <w:sz w:val="24"/>
          <w:szCs w:val="24"/>
        </w:rPr>
        <w:br/>
        <w:t xml:space="preserve">segítségével nagy mértékű, tranziens dopamin felszabadulást detektálhattunk. Kontroll felvétele</w:t>
      </w:r>
      <w:r>
        <w:rPr>
          <w:color w:val="000000"/>
          <w:sz w:val="24"/>
          <w:szCs w:val="24"/>
        </w:rPr>
        <w:br/>
        <w:t xml:space="preserve">után α7 receptor agonista PHA-543613 vagy monoamin-visszavétel gátló sibutramine beadása</w:t>
      </w:r>
      <w:r>
        <w:rPr>
          <w:color w:val="000000"/>
          <w:sz w:val="24"/>
          <w:szCs w:val="24"/>
        </w:rPr>
        <w:br/>
        <w:t xml:space="preserve">történt intraperitoneálisan, majd vizsgáltuk a vegyület hatását a dopamin-felszabadulás</w:t>
      </w:r>
      <w:r>
        <w:rPr>
          <w:color w:val="000000"/>
          <w:sz w:val="24"/>
          <w:szCs w:val="24"/>
        </w:rPr>
        <w:br/>
        <w:t xml:space="preserve">mértékére. A mérés validálása érdekében nomifensine-t (DA visszavétel gátló) adtunk be</w:t>
      </w:r>
      <w:r>
        <w:rPr>
          <w:color w:val="000000"/>
          <w:sz w:val="24"/>
          <w:szCs w:val="24"/>
        </w:rPr>
        <w:br/>
        <w:t xml:space="preserve">intraperitoneálisan. A pontos DA-koncentráció értékeket az elektród utólagos kalibrálásával</w:t>
      </w:r>
      <w:r>
        <w:rPr>
          <w:color w:val="000000"/>
          <w:sz w:val="24"/>
          <w:szCs w:val="24"/>
        </w:rPr>
        <w:br/>
        <w:t xml:space="preserve">határoztuk meg, melyet in vitro áramlási rendszerben végeztünk. Az elektródok pontos</w:t>
      </w:r>
      <w:r>
        <w:rPr>
          <w:color w:val="000000"/>
          <w:sz w:val="24"/>
          <w:szCs w:val="24"/>
        </w:rPr>
        <w:br/>
        <w:t xml:space="preserve">helyzetéről később szövettani metszetek segítségével nyertünk bővebb információt.</w:t>
      </w:r>
      <w:r>
        <w:rPr>
          <w:color w:val="000000"/>
          <w:sz w:val="24"/>
          <w:szCs w:val="24"/>
        </w:rPr>
        <w:br/>
        <w:br/>
        <w:br/>
        <w:t xml:space="preserve">A nomifensine hatására a vártnak megfelelően nagy mértékben és gyorsan növekedett a</w:t>
      </w:r>
      <w:r>
        <w:rPr>
          <w:color w:val="000000"/>
          <w:sz w:val="24"/>
          <w:szCs w:val="24"/>
        </w:rPr>
        <w:br/>
        <w:t xml:space="preserve">dopamin-csúcs. Ezzel szemben a PHA-543613 és sibutramine beadása után nem tapasztaltunk</w:t>
      </w:r>
      <w:r>
        <w:rPr>
          <w:color w:val="000000"/>
          <w:sz w:val="24"/>
          <w:szCs w:val="24"/>
        </w:rPr>
        <w:br/>
        <w:t xml:space="preserve">jelentősebb változást a DA-csúcsban.</w:t>
      </w:r>
      <w:r>
        <w:rPr>
          <w:color w:val="000000"/>
          <w:sz w:val="24"/>
          <w:szCs w:val="24"/>
        </w:rPr>
        <w:br/>
        <w:t xml:space="preserve">Összefoglalva: vizsgálataink során egy olyan elektroanalitikai eljárást állítottunk be, amellyel</w:t>
      </w:r>
      <w:r>
        <w:rPr>
          <w:color w:val="000000"/>
          <w:sz w:val="24"/>
          <w:szCs w:val="24"/>
        </w:rPr>
        <w:br/>
        <w:t xml:space="preserve">újonnan előállított gyógyszerhatású vegyületek DA rendszerre gyakorolt hatása kvantitatívan</w:t>
      </w:r>
      <w:r>
        <w:rPr>
          <w:color w:val="000000"/>
          <w:sz w:val="24"/>
          <w:szCs w:val="24"/>
        </w:rPr>
        <w:br/>
        <w:t xml:space="preserve">meghatározható ismert referens anyagok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51252">
    <w:multiLevelType w:val="hybridMultilevel"/>
    <w:lvl w:ilvl="0" w:tplc="69930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51252">
    <w:abstractNumId w:val="55151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186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