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ETELKA PÖSTYÉNI</w:t>
            </w:r>
          </w:p>
          <w:p w:rsidR="00C275A3" w:rsidRDefault="00A96AEC" w:rsidP="00C275A3">
            <w:pPr>
              <w:pStyle w:val="Hallgatokepzes"/>
            </w:pPr>
            <w:r>
              <w:t>Biology</w:t>
            </w:r>
            <w:r>
              <w:br/>
            </w:r>
            <w:r w:rsidR="00E77B23">
              <w:t>MSc, 3. semester</w:t>
            </w:r>
          </w:p>
          <w:p w:rsidR="00C265CE" w:rsidRPr="009E5FF1" w:rsidRDefault="00E77B23" w:rsidP="009763E0">
            <w:pPr>
              <w:pStyle w:val="Hallgatointezmeny-kar"/>
              <w:rPr>
                <w:b/>
                <w:caps/>
              </w:rPr>
            </w:pPr>
            <w:r>
              <w:t>University of Pécs</w:t>
            </w:r>
            <w:r w:rsidR="00C275A3">
              <w:br/>
            </w:r>
            <w:r w:rsidR="00DB4822">
              <w:t>Faculty of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Prof. Dr. Béla Melegh</w:t>
            </w:r>
          </w:p>
          <w:p w:rsidR="00DB4822" w:rsidRDefault="00DB4822" w:rsidP="009763E0">
            <w:pPr>
              <w:pStyle w:val="Konzulensektitulus"/>
            </w:pPr>
            <w:r w:rsidRPr="00DB4822">
              <w:t>professor, PTE ÁOK</w:t>
            </w:r>
          </w:p>
        </w:tc>
      </w:tr>
      <w:tr w:rsidR="00DB4822" w:rsidTr="00DB4822">
        <w:tc>
          <w:tcPr>
            <w:tcW w:w="9854" w:type="dxa"/>
          </w:tcPr>
          <w:p w:rsidR="00DB4822" w:rsidRPr="00DB4822" w:rsidRDefault="00DB4822" w:rsidP="009763E0">
            <w:pPr>
              <w:pStyle w:val="Konzulenseknev"/>
            </w:pPr>
            <w:r w:rsidRPr="00DB4822">
              <w:t>Dr. Katalin Komlósi</w:t>
            </w:r>
          </w:p>
          <w:p w:rsidR="00DB4822" w:rsidRDefault="00DB4822" w:rsidP="009763E0">
            <w:pPr>
              <w:pStyle w:val="Konzulensektitulus"/>
            </w:pPr>
            <w:r w:rsidRPr="00DB4822">
              <w:t>assistant professor, PTE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Whole exome sequencing in mitochondrial diseases: a case of congenital lactic acidosis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Publications of recent years show that the approach of whole exome sequencing (WES) reveals the genetic cause in approximately 60% of families with a Mendelian disorder with yet unknown cause: in 30% genes with novel phenotypic features, in further 30% new gene variants are identified. In my project we have chosen the mitochondrial diseases as a model to identify new mutations with next generation methods. We analyzed a Hungarian Roma family with two boys both showing severe congenital lactic acidosis, cardiac hypertrophy and myopathy in whom a mitochondrial energy deficit was suspected. The first boy died at 6 months as a result of the severe metabolic disorder, the second boy’s lactic acidosis was managed by ketogenic diet. The older sister and the parents are asymptomatic. The severe lactic acidosis raised the possibility of pyruvate dehydrogenase deficiency, but the enzyme activity measurement did not justify a decreased activity in the affected patients. Since several other enzyme deficiencies can cause the above symptoms and targeted single gene analysis would have been very time-consuming, whole exome sequencing was chosen as the appropriate method to identify the underlying genetic defect. Assuming autosomal recessive inheritance we screened for variants that were homozygous or compound heterozygous in the index patient and at the same time heterozygous in the parents. WES analysis, performed with international collaboration, pointed out 20 genes out of 96 variants that were linked to autosomal recessive or X-linked human diseases. From the 20 variants 3 genes are known to play a role in the mitochondrial pathways, but only the c.317-2A&gt; G splice mutation of the TMEM70 gene is associated with loss of function leading to the dysfunction of the mitochondrial ATP synthase. Confirmed with Sanger sequencing this variant was detected in homozygous form in the index patient and heterozygous form in the parents and in the healthy sister. The mutation can be regarded as a causal explanation of the symptoms of the two affected boys in the family. Although no consanguinity between the parents is known, a homozygous mutation can be explained by the higher carrier rate of this mutation in the Roma population. This case could serve as a model for the application of WES as a next generation strategy in unidentified mitochondrial diseases.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178965">
    <w:multiLevelType w:val="hybridMultilevel"/>
    <w:lvl w:ilvl="0" w:tplc="360994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178965">
    <w:abstractNumId w:val="8617896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0705430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