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VARGA</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Róbert Mátics PhD</w:t>
            </w:r>
          </w:p>
          <w:p w:rsidR="00DB4822" w:rsidRDefault="00DB4822" w:rsidP="00E11062">
            <w:pPr>
              <w:pStyle w:val="Konzulensek"/>
            </w:pPr>
            <w:r w:rsidRPr="00DB4822">
              <w:t>senior lecturer, PTE ÁOK</w:t>
            </w:r>
          </w:p>
        </w:tc>
      </w:tr>
      <w:tr w:rsidR="00DB4822" w:rsidTr="00DB4822">
        <w:tc>
          <w:tcPr>
            <w:tcW w:w="9854" w:type="dxa"/>
          </w:tcPr>
          <w:p w:rsidR="00DB4822" w:rsidRPr="00DB4822" w:rsidRDefault="00DB4822" w:rsidP="004D7940">
            <w:pPr>
              <w:pStyle w:val="Konzulensek"/>
            </w:pPr>
            <w:r w:rsidRPr="00DB4822">
              <w:t>László Pajor MD, PhD</w:t>
            </w:r>
          </w:p>
          <w:p w:rsidR="00DB4822" w:rsidRDefault="00DB4822" w:rsidP="00E11062">
            <w:pPr>
              <w:pStyle w:val="Konzulensek"/>
            </w:pPr>
            <w:r w:rsidRPr="00DB4822">
              <w:t>full professor,  University of Pécs
Medical Center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Chromosomal changes and chromosome instability of high hyperdiploid pediatric acute lymphoblastic leukemia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Pathogenesis of the non-random accumulation of extra chromosomes in the low and high hyperdiploid (HeL, HeH) pre-B pediatric acute lymphoblastic leukemia (B-pALL) is largely unknown, and has been clarified with respect only to tetrasomic chromosomes. We analyzed the hierarchy of changes in chromosome number and chromosomal instability, as well as clonal heterogeneity and evolution, in the untreated bone marrow cell samples from 214 B-pALL patients.</w:t>
      </w:r>
      <w:r>
        <w:rPr>
          <w:color w:val="000000"/>
          <w:sz w:val="24"/>
          <w:szCs w:val="24"/>
        </w:rPr>
        <w:br/>
        <w:t xml:space="preserve">   Applying relocation, 2x4 color interphase fluorescence in situ hybridization was used to detect copy number alterations (CNAs) of the most commonly involved chromosomes, 4, 6, 10, 14, 17, 18, 21, and X. This approach allowed us to acquire a dataset correlated for all eight parameters.</w:t>
      </w:r>
      <w:r>
        <w:rPr>
          <w:color w:val="000000"/>
          <w:sz w:val="24"/>
          <w:szCs w:val="24"/>
        </w:rPr>
        <w:br/>
        <w:t xml:space="preserve">   Based on chromosome number, an average of 6.9 and 10.2, whereas according to unique constellation 15.3 and 26.7 subclones could be identified in the HeL and HeH subgroups, respectively. Cluster analysis revealed the order of CNAs to chromosomes was highly conserved, and network analysis indicated changes in chromosome number were sequential for 80–90% of all numerical aberrations. Significant chromosome instability was revealed in both subgroups of leukemia and we can predict by using subclones the somatic evolution of this disease.</w:t>
      </w:r>
      <w:r>
        <w:rPr>
          <w:color w:val="000000"/>
          <w:sz w:val="24"/>
          <w:szCs w:val="24"/>
        </w:rPr>
        <w:br/>
        <w:t xml:space="preserve">   Data generated using this new approach indicate that chromosomal instability, which causes heterogeneity in the subclonal landscape, and the sequential changes to chromosome numbers, and the emerging maladaptive radiation with the following contraselection are equally determining factors in the pathomechanism of the hyperdiploid B-pALL. These new observations could prompt research into the mitotic machinery of leukemic cells to identify new therapeutic targets for treating this disease.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71761">
    <w:multiLevelType w:val="hybridMultilevel"/>
    <w:lvl w:ilvl="0" w:tplc="65542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71761">
    <w:abstractNumId w:val="464717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611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