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JANKUS</w:t>
            </w:r>
          </w:p>
          <w:p w:rsidR="00C275A3" w:rsidRDefault="00A96AEC" w:rsidP="00C275A3">
            <w:pPr>
              <w:pStyle w:val="Hallgatokepzes"/>
            </w:pPr>
            <w:r>
              <w:t>Architecture</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Olivér Fenyvesi</w:t>
            </w:r>
          </w:p>
          <w:p w:rsidR="00DB4822" w:rsidRDefault="00DB4822" w:rsidP="00E11062">
            <w:pPr>
              <w:pStyle w:val="Konzulensek"/>
            </w:pPr>
            <w:r w:rsidRPr="00DB4822">
              <w:t>assistant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Opportunities of recycling autoclaved aerated concrete waste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Waste: the article, produced in the highest volume in modern societies. We have to take a question: why do we handle it as useless material? In my research, recycling opportunities of a autoclaved aerated concrete (AAC) scrap -which is included in the group of building industrial waste - is investigated.</w:t>
      </w:r>
    </w:p>
    <w:p>
      <w:pPr>
        <w:widowControl w:val="on"/>
        <w:pBdr/>
        <w:spacing w:before="240" w:after="240" w:line="240" w:lineRule="auto"/>
        <w:ind w:left="0" w:right="0"/>
        <w:jc w:val="left"/>
      </w:pPr>
      <w:r>
        <w:rPr>
          <w:color w:val="000000"/>
          <w:sz w:val="24"/>
          <w:szCs w:val="24"/>
        </w:rPr>
        <w:t xml:space="preserve">AAC is a very common and well-known building material, used in a great quantity nowadays. The manufacturing technology was developed in 1924. According to actual statistics - made by the manufacturer – about 10 million m3 of AAC blocks are sold per year world-wide. Considering these details, we can see that the oldest buildings, made of AAC are about 90 years age. We can ask the question: what will happen with this huge amount of AAC waste, if these buildings reach their planned lifetime and they get demolished. In my research answers for this question are searched, supported by laboratory experiments.</w:t>
      </w:r>
    </w:p>
    <w:p>
      <w:pPr>
        <w:widowControl w:val="on"/>
        <w:pBdr/>
        <w:spacing w:before="240" w:after="240" w:line="240" w:lineRule="auto"/>
        <w:ind w:left="0" w:right="0"/>
        <w:jc w:val="left"/>
      </w:pPr>
      <w:r>
        <w:rPr>
          <w:color w:val="000000"/>
          <w:sz w:val="24"/>
          <w:szCs w:val="24"/>
        </w:rPr>
        <w:t xml:space="preserve">My scientific research was in February 2012. I presented the results of the first researching phase at the Student Conference in November 2012. During this phase concrete mixtures were designed for load-bearing material of vertical structures. The smashed AAC waste was used as concrete aggregate bulk. Compression strength, body density, water tightness and thermal conductivity were tested. Due to the results, the new concrete mixtures were suitable for the vertical structures of a multi-level building (including the underground structures).</w:t>
      </w:r>
    </w:p>
    <w:p>
      <w:pPr>
        <w:widowControl w:val="on"/>
        <w:pBdr/>
        <w:spacing w:before="240" w:after="240" w:line="240" w:lineRule="auto"/>
        <w:ind w:left="0" w:right="0"/>
        <w:jc w:val="left"/>
      </w:pPr>
      <w:r>
        <w:rPr>
          <w:color w:val="000000"/>
          <w:sz w:val="24"/>
          <w:szCs w:val="24"/>
        </w:rPr>
        <w:t xml:space="preserve">During the first phase some tests needed polished specimen. After grinding the surfaces, an aesthetic texture was found. Because of this, the development of concrete mixtures for exposed structures for the present, second research phase was chosen.</w:t>
      </w:r>
    </w:p>
    <w:p>
      <w:pPr>
        <w:widowControl w:val="on"/>
        <w:pBdr/>
        <w:spacing w:before="240" w:after="240" w:line="240" w:lineRule="auto"/>
        <w:ind w:left="0" w:right="0"/>
        <w:jc w:val="left"/>
      </w:pPr>
      <w:r>
        <w:rPr>
          <w:color w:val="000000"/>
          <w:sz w:val="24"/>
          <w:szCs w:val="24"/>
        </w:rPr>
        <w:t xml:space="preserve">Body density, compression strength, flexural-tensile strength, freeze-thaw resistance, thermal conductivity, impact resistance, resistance to fixing (dowel hole) were tested on the new specimens. One of the main purposes was the appearance diversity. Therefore the concrete mixtures were colored with oxide pigments and crushed clay brick dust. For the claim of the aesthetic surface, a better cement type was used in the second phase (CEM I 52.5) than in the first one (CEM II/B 42.5). Half of the mixtures were made with grey, the others with white cement, so the difference in coloring could be clearly seen.</w:t>
      </w:r>
    </w:p>
    <w:p>
      <w:pPr>
        <w:widowControl w:val="on"/>
        <w:pBdr/>
        <w:spacing w:before="240" w:after="240" w:line="240" w:lineRule="auto"/>
        <w:ind w:left="0" w:right="0"/>
        <w:jc w:val="left"/>
      </w:pPr>
      <w:r>
        <w:rPr>
          <w:color w:val="000000"/>
          <w:sz w:val="24"/>
          <w:szCs w:val="24"/>
        </w:rPr>
        <w:t xml:space="preserve">In my study special emphasis is laid on analysis and interpretation of waste-handling law in Hungary as well as in the European Union.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99811">
    <w:multiLevelType w:val="hybridMultilevel"/>
    <w:lvl w:ilvl="0" w:tplc="40704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99811">
    <w:abstractNumId w:val="615998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13116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