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BACK MÁRTA</w:t>
            </w:r>
          </w:p>
          <w:p w:rsidR="00C275A3" w:rsidRDefault="00A96AEC" w:rsidP="00C275A3">
            <w:pPr>
              <w:pStyle w:val="Hallgatokepzes"/>
            </w:pPr>
            <w:r>
              <w:t>építőmérnöki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Vámos Máté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Telített és telítetlen lösz talajok dinamikus alakváltozási tulajdonságait befolyásoló tényez?k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építőmérnöki létesítményeket különböző eredetű dinamikus hatások érik, amelyek más megközelítéseket igényelnek a tervezés során, mint a megszokott statikus terhelési esetek. A dinamikus terhekre való méretezés kiemelt jelentőséggel bír a geotechnikában, ugyanis a talajok a statikus viselkedéstől eltérő módon reagálnak a ciklikusan ismétlődő terhelésre, változhatnak a merevségi és csillapítási viszonyaik, alakváltozási paramétereik. A geotechnikai tervezésben sok esetben nem a teherbírási, hanem a használhatósági határállapot a mértékadó, ezért fontos, hogy előre meg tudjuk becsülni, miként fognak viselkedni az egyes talajok dinamikus terhelés hatására.</w:t>
      </w:r>
      <w:r>
        <w:rPr>
          <w:color w:val="000000"/>
          <w:sz w:val="24"/>
          <w:szCs w:val="24"/>
        </w:rPr>
        <w:br/>
        <w:t xml:space="preserve">A dinamikus vizsgálatokat a BME Geotechnikai Tanszék ciklikus triaxiális berendezésével hajtottam végre különböző pulzáló feszültségarányok (CSR), valamint eltérő telítettségi és konszolidáltsági viszonyok mellett, annak érdekében, hogy kimutassam a teherszint, a telítettség, valamint az előterheltség dinamikus talajparaméterekre gyakorolt hatását. A terhelések során alkalmazott mintákat Proctor-edényben, optimum víztartalom felett tömörített talajból 38 mm átmérőjű, 75 mm magas rézhenger segítségével szúrtam ki. A vizsgálatok során mértem a terhelő erő nagyságát, a minták tengelyirányú összenyomódását, illetve a pórusvíznyomást. Ezen adatok felhasználásával meghatároztam a rugalmassági modulust, a csillapítási tényezőt, a tengelyirányú alakváltozást, valamint a disszipált és a potenciális energia nagyságát.</w:t>
      </w:r>
      <w:r>
        <w:rPr>
          <w:color w:val="000000"/>
          <w:sz w:val="24"/>
          <w:szCs w:val="24"/>
        </w:rPr>
        <w:br/>
        <w:t xml:space="preserve">Összehasonlítottam a rugalmassági modulus és a ciklusszám, valamint a merevség és a ciklikus alakváltozási amplitúdó között fennálló korrelációkat. Összefüggéseket kerestem, annak érdekében, hogy a vizsgált talaj rugalmassági modulusa becsülhető legyen a ciklusszám, a pulzáló feszültség nagyságának, a tömörségnek, valamint a telítettségi és konszolidációs állapotának ismeretében. Megvizsgáltam a csillapítás alakulását a ciklusszám, illetve a ciklikus alakváltozási amplitúdó függvényében. A rugalmassági modulushoz hasonlóan a csillapítás becslésére alkalmas összefüggéséket is kerestem. Az alakváltozás-ciklusszám korrelációt összevetettem a pórusvíznyomás esetében tapasztalt változásokkal. Elemeztem a terhelések során befektetett energia és a rugalmassági modulus kapcsolatát.</w:t>
      </w:r>
      <w:r>
        <w:rPr>
          <w:color w:val="000000"/>
          <w:sz w:val="24"/>
          <w:szCs w:val="24"/>
        </w:rPr>
        <w:br/>
        <w:t xml:space="preserve">Az eredmények felhasználásával megállapításokat fogalmaztam meg, amelyekben összegeztem, milyen hatást gyakorol a pulzáló feszültségarány növekedése, az előterheltség és a telítettség a dinamikus talajparaméterek változására.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52155">
    <w:multiLevelType w:val="hybridMultilevel"/>
    <w:lvl w:ilvl="0" w:tplc="71914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52155">
    <w:abstractNumId w:val="13252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263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