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TURAI</w:t>
            </w:r>
          </w:p>
          <w:p w:rsidR="00C275A3" w:rsidRDefault="00A96AEC" w:rsidP="00C275A3">
            <w:pPr>
              <w:pStyle w:val="Hallgatokepzes"/>
            </w:pPr>
            <w:r>
              <w:t>Civil Engineer</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Nagy</w:t>
            </w:r>
          </w:p>
          <w:p w:rsidR="00DB4822" w:rsidRDefault="00DB4822" w:rsidP="00E11062">
            <w:pPr>
              <w:pStyle w:val="Konzulensek"/>
            </w:pPr>
            <w:r w:rsidRPr="00DB4822">
              <w:t>Associate Professor, BME ÉMK</w:t>
            </w:r>
          </w:p>
        </w:tc>
      </w:tr>
      <w:tr w:rsidR="00DB4822" w:rsidTr="00DB4822">
        <w:tc>
          <w:tcPr>
            <w:tcW w:w="9854" w:type="dxa"/>
          </w:tcPr>
          <w:p w:rsidR="00DB4822" w:rsidRPr="00DB4822" w:rsidRDefault="00DB4822" w:rsidP="004D7940">
            <w:pPr>
              <w:pStyle w:val="Konzulensek"/>
            </w:pPr>
            <w:r w:rsidRPr="00DB4822">
              <w:t>Dr. András Mahler</w:t>
            </w:r>
          </w:p>
          <w:p w:rsidR="00DB4822" w:rsidRDefault="00DB4822" w:rsidP="00E11062">
            <w:pPr>
              <w:pStyle w:val="Konzulensek"/>
            </w:pPr>
            <w:r w:rsidRPr="00DB4822">
              <w:t>Associate Professor,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Numerical Analysis of Seepage Under Floodwalls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study, I examined the effect of the new Dagály swimming complex for the underground seepage conditions. Before the construction of watertight wall designed for mobile flood protection wall is needed to sizing the ratio of the closure of the water-bearing gravel layer below.</w:t>
      </w:r>
    </w:p>
    <w:p>
      <w:pPr>
        <w:widowControl w:val="on"/>
        <w:pBdr/>
        <w:spacing w:before="240" w:after="240" w:line="240" w:lineRule="auto"/>
        <w:ind w:left="0" w:right="0"/>
        <w:jc w:val="left"/>
      </w:pPr>
      <w:r>
        <w:rPr>
          <w:color w:val="000000"/>
          <w:sz w:val="24"/>
          <w:szCs w:val="24"/>
        </w:rPr>
        <w:br/>
        <w:t xml:space="preserve">During my work, I created a nearly 3 square kilometers model of the new swimming complex area. I used modern methods of three-dimensional finite element modeling, MIDAS GTS program. For the examination of the standard two-dimensional flood, I used PLAXIS 2011, finite element modeling program.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839029">
    <w:multiLevelType w:val="hybridMultilevel"/>
    <w:lvl w:ilvl="0" w:tplc="123638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839029">
    <w:abstractNumId w:val="598390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63791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