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BACSA</w:t>
            </w:r>
          </w:p>
          <w:p w:rsidR="00C275A3" w:rsidRDefault="00A96AEC" w:rsidP="00C275A3">
            <w:pPr>
              <w:pStyle w:val="Hallgatokepzes"/>
            </w:pPr>
            <w:r>
              <w:t>Civil Engineering</w:t>
            </w:r>
            <w:r>
              <w:br/>
            </w:r>
            <w:r w:rsidR="00E77B23">
              <w:t>BSc, 10.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Nagy</w:t>
            </w:r>
          </w:p>
          <w:p w:rsidR="00DB4822" w:rsidRDefault="00DB4822" w:rsidP="00E11062">
            <w:pPr>
              <w:pStyle w:val="Konzulensek"/>
            </w:pPr>
            <w:r w:rsidRPr="00DB4822">
              <w:t>PhD student, BME ÉMK</w:t>
            </w:r>
          </w:p>
        </w:tc>
      </w:tr>
      <w:tr w:rsidR="00DB4822" w:rsidTr="00DB4822">
        <w:tc>
          <w:tcPr>
            <w:tcW w:w="9854" w:type="dxa"/>
          </w:tcPr>
          <w:p w:rsidR="00DB4822" w:rsidRPr="00DB4822" w:rsidRDefault="00DB4822" w:rsidP="004D7940">
            <w:pPr>
              <w:pStyle w:val="Konzulensek"/>
            </w:pPr>
            <w:r w:rsidRPr="00DB4822">
              <w:t>Dr. Judit Emília Csanaky </w:t>
            </w:r>
          </w:p>
          <w:p w:rsidR="00DB4822" w:rsidRDefault="00DB4822" w:rsidP="00E11062">
            <w:pPr>
              <w:pStyle w:val="Konzulensek"/>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a residential building's computational energy modellings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operating 7/2006. (V.24.) TNM regulation about the building’s energy performance allows the designer to choose between the method of calculation set out in the appendix of the regulation and the internationally adopted simulation software if the latter calculation provides the same result. However the regulation does not specify these softwares.</w:t>
      </w:r>
    </w:p>
    <w:p>
      <w:pPr>
        <w:widowControl w:val="on"/>
        <w:pBdr/>
        <w:spacing w:before="240" w:after="240" w:line="240" w:lineRule="auto"/>
        <w:ind w:left="0" w:right="0"/>
        <w:jc w:val="left"/>
      </w:pPr>
      <w:r>
        <w:rPr>
          <w:color w:val="000000"/>
          <w:sz w:val="24"/>
          <w:szCs w:val="24"/>
        </w:rPr>
        <w:br/>
        <w:t xml:space="preserve">During my research I made building energetics simulations of a house designed by myself using these softwares. I constituted the examined bulilding by two homogeneous-like building enclosure: according to the operating and the cost-optimized requirements. I compared the obtained results with the calculations of a software using the hungarian regulation. Besides in my paper I examined the boundaries of the programs, the quantity and quality of the attributes, the time and resource requirements, the calculations method and the complexity of computer simulation.</w:t>
      </w:r>
    </w:p>
    <w:p>
      <w:pPr>
        <w:widowControl w:val="on"/>
        <w:pBdr/>
        <w:spacing w:before="240" w:after="240" w:line="240" w:lineRule="auto"/>
        <w:ind w:left="0" w:right="0"/>
        <w:jc w:val="left"/>
      </w:pPr>
      <w:r>
        <w:rPr>
          <w:color w:val="000000"/>
          <w:sz w:val="24"/>
          <w:szCs w:val="24"/>
        </w:rPr>
        <w:br/>
        <w:t xml:space="preserve">This research can be a guideline for architects and experts in building energetics. The most optimal internationally used simulation software can be chosen by the working parts and the attributes. The comparative analysis of the paper can significantly contribute to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16396">
    <w:multiLevelType w:val="hybridMultilevel"/>
    <w:lvl w:ilvl="0" w:tplc="44241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16396">
    <w:abstractNumId w:val="40716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028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