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BENDA</w:t>
            </w:r>
          </w:p>
          <w:p w:rsidR="00C275A3" w:rsidRDefault="00A96AEC" w:rsidP="00C275A3">
            <w:pPr>
              <w:pStyle w:val="Hallgatokepzes"/>
            </w:pPr>
            <w:r>
              <w:t>Chemist</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Lluís Blancafort</w:t>
            </w:r>
          </w:p>
          <w:p w:rsidR="00DB4822" w:rsidRDefault="00DB4822" w:rsidP="00E11062">
            <w:pPr>
              <w:pStyle w:val="Konzulensek"/>
            </w:pPr>
            <w:r w:rsidRPr="00DB4822">
              <w:t>professor,  University of Girona, Institute of Computational Chemistry and Catalysis</w:t>
            </w:r>
          </w:p>
        </w:tc>
      </w:tr>
      <w:tr w:rsidR="00DB4822" w:rsidTr="00DB4822">
        <w:tc>
          <w:tcPr>
            <w:tcW w:w="9854" w:type="dxa"/>
          </w:tcPr>
          <w:p w:rsidR="00DB4822" w:rsidRPr="00DB4822" w:rsidRDefault="00DB4822" w:rsidP="004D7940">
            <w:pPr>
              <w:pStyle w:val="Konzulensek"/>
            </w:pPr>
            <w:r w:rsidRPr="00DB4822">
              <w:t>Péter G. Szalay</w:t>
            </w:r>
          </w:p>
          <w:p w:rsidR="00DB4822" w:rsidRDefault="00DB4822" w:rsidP="00E11062">
            <w:pPr>
              <w:pStyle w:val="Konzulensek"/>
            </w:pPr>
            <w:r w:rsidRPr="00DB4822">
              <w:t>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Theoretical Investigation of the Non-Radiative Decay Paths of 5-Fluorocytosine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excited-state lifetime; CCSD; CASPT2; conical intersection; barrier height</w:t>
      </w:r>
      <w:r>
        <w:t xml:space="preserve"/>
      </w:r>
    </w:p>
    <w:p>
      <w:pPr>
        <w:widowControl w:val="on"/>
        <w:pBdr/>
        <w:spacing w:before="240" w:after="240" w:line="240" w:lineRule="auto"/>
        <w:ind w:left="0" w:right="0"/>
        <w:jc w:val="left"/>
      </w:pPr>
      <w:r>
        <w:rPr>
          <w:color w:val="000000"/>
          <w:sz w:val="24"/>
          <w:szCs w:val="24"/>
        </w:rPr>
        <w:t xml:space="preserve">Nucleotides protect DNA from the harmful effect of ultraviolet light by dissipating the absorbed energy incredibly fast. Easily accessible, low-energy crossings between the potential energy surfaces of the electronic states are crucial for the ultrafast non-radiative deactivation processes as they enable the system to relax to the ground state energy minimum.</w:t>
      </w:r>
      <w:r>
        <w:rPr>
          <w:color w:val="000000"/>
          <w:sz w:val="24"/>
          <w:szCs w:val="24"/>
        </w:rPr>
        <w:br/>
        <w:t xml:space="preserve">In this study, we investigate the decay paths of 5-fluorocytosine in order to get a more detailed picture of the ultrafast deactivation of cytosine itself. Previous experimental results indicate that 5-fluorocytosine has an excited-state lifetime notably longer than cytosine (by a factor of 100 in solution [1], and 2 in gas phase [2]), thus, it is assumed that after substitution at the C5 atom, the same path can no longer be accessed that easily.</w:t>
      </w:r>
      <w:r>
        <w:rPr>
          <w:color w:val="000000"/>
          <w:sz w:val="24"/>
          <w:szCs w:val="24"/>
        </w:rPr>
        <w:br/>
        <w:t xml:space="preserve">Three low-energy decay paths, which were able to explain the short lifetime of cytosine, were studied in the case of 5-fluorocytosine by CASSCF, CASPT2 and CCSD methods.</w:t>
      </w:r>
      <w:r>
        <w:rPr>
          <w:color w:val="000000"/>
          <w:sz w:val="24"/>
          <w:szCs w:val="24"/>
        </w:rPr>
        <w:br/>
        <w:t xml:space="preserve">The first path, which involves an n</w:t>
      </w:r>
      <w:r>
        <w:rPr>
          <w:color w:val="000000"/>
          <w:position w:val="-4"/>
          <w:sz w:val="21"/>
          <w:szCs w:val="21"/>
          <w:vertAlign w:val="subscript"/>
        </w:rPr>
        <w:t xml:space="preserve">O</w:t>
      </w:r>
      <w:r>
        <w:rPr>
          <w:color w:val="000000"/>
          <w:sz w:val="24"/>
          <w:szCs w:val="24"/>
        </w:rPr>
        <w:t xml:space="preserve">-</w:t>
      </w:r>
      <w:r>
        <w:rPr>
          <w:color w:val="000000"/>
          <w:position w:val="-3"/>
          <w:sz w:val="24"/>
          <w:szCs w:val="24"/>
        </w:rPr>
        <w:drawing>
          <wp:inline distT="0" distB="0" distL="0" distR="0">
            <wp:extent cx="115200" cy="72000"/>
            <wp:docPr id="61094639" name="name1547f8ec5c6043" descr="imgtmp_32636_int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32636_int_1.gif"/>
                    <pic:cNvPicPr/>
                  </pic:nvPicPr>
                  <pic:blipFill>
                    <a:blip r:embed="rId1547f8ec5c5fea" cstate="print"/>
                    <a:stretch>
                      <a:fillRect/>
                    </a:stretch>
                  </pic:blipFill>
                  <pic:spPr>
                    <a:xfrm>
                      <a:off x="0" y="0"/>
                      <a:ext cx="115200" cy="72000"/>
                    </a:xfrm>
                    <a:prstGeom prst="rect">
                      <a:avLst/>
                    </a:prstGeom>
                    <a:ln w="0">
                      <a:noFill/>
                    </a:ln>
                  </pic:spPr>
                </pic:pic>
              </a:graphicData>
            </a:graphic>
          </wp:inline>
        </w:drawing>
      </w:r>
      <w:r>
        <w:rPr>
          <w:color w:val="000000"/>
          <w:sz w:val="24"/>
          <w:szCs w:val="24"/>
        </w:rPr>
        <w:t xml:space="preserve">* state, is characterized by the elongation of the C-O bond and pyramidalization at the C6 and N1 atoms.</w:t>
      </w:r>
      <w:r>
        <w:rPr>
          <w:color w:val="000000"/>
          <w:sz w:val="24"/>
          <w:szCs w:val="24"/>
        </w:rPr>
        <w:br/>
        <w:t xml:space="preserve">For the second path, the out-of-plane distortion of the N3 atom and the amino group are dominating. At the conical intersection with the ground state, the amino group is nearly perpendicular to the ring plane. At the CASSCF level, from the minimum of the experimentally excited </w:t>
      </w:r>
      <w:r>
        <w:rPr>
          <w:color w:val="000000"/>
          <w:position w:val="-3"/>
          <w:sz w:val="24"/>
          <w:szCs w:val="24"/>
        </w:rPr>
        <w:drawing>
          <wp:inline distT="0" distB="0" distL="0" distR="0">
            <wp:extent cx="115200" cy="72000"/>
            <wp:docPr id="61512569" name="name1547f8ec5c62e2" descr="imgtmp_32636_int_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32636_int_2.gif"/>
                    <pic:cNvPicPr/>
                  </pic:nvPicPr>
                  <pic:blipFill>
                    <a:blip r:embed="rId1547f8ec5c628f" cstate="print"/>
                    <a:stretch>
                      <a:fillRect/>
                    </a:stretch>
                  </pic:blipFill>
                  <pic:spPr>
                    <a:xfrm>
                      <a:off x="0" y="0"/>
                      <a:ext cx="115200" cy="72000"/>
                    </a:xfrm>
                    <a:prstGeom prst="rect">
                      <a:avLst/>
                    </a:prstGeom>
                    <a:ln w="0">
                      <a:noFill/>
                    </a:ln>
                  </pic:spPr>
                </pic:pic>
              </a:graphicData>
            </a:graphic>
          </wp:inline>
        </w:drawing>
      </w:r>
      <w:r>
        <w:rPr>
          <w:color w:val="000000"/>
          <w:sz w:val="24"/>
          <w:szCs w:val="24"/>
        </w:rPr>
        <w:t xml:space="preserve">-</w:t>
      </w:r>
      <w:r>
        <w:rPr>
          <w:color w:val="000000"/>
          <w:position w:val="-3"/>
          <w:sz w:val="24"/>
          <w:szCs w:val="24"/>
        </w:rPr>
        <w:drawing>
          <wp:inline distT="0" distB="0" distL="0" distR="0">
            <wp:extent cx="115200" cy="72000"/>
            <wp:docPr id="16333842" name="name1547f8ec5c64c6" descr="imgtmp_32636_int_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32636_int_3.gif"/>
                    <pic:cNvPicPr/>
                  </pic:nvPicPr>
                  <pic:blipFill>
                    <a:blip r:embed="rId1547f8ec5c6474" cstate="print"/>
                    <a:stretch>
                      <a:fillRect/>
                    </a:stretch>
                  </pic:blipFill>
                  <pic:spPr>
                    <a:xfrm>
                      <a:off x="0" y="0"/>
                      <a:ext cx="115200" cy="72000"/>
                    </a:xfrm>
                    <a:prstGeom prst="rect">
                      <a:avLst/>
                    </a:prstGeom>
                    <a:ln w="0">
                      <a:noFill/>
                    </a:ln>
                  </pic:spPr>
                </pic:pic>
              </a:graphicData>
            </a:graphic>
          </wp:inline>
        </w:drawing>
      </w:r>
      <w:r>
        <w:rPr>
          <w:color w:val="000000"/>
          <w:sz w:val="24"/>
          <w:szCs w:val="24"/>
        </w:rPr>
        <w:t xml:space="preserve">* state, a 0.36 eV high barrier leads to this conical intersection.</w:t>
      </w:r>
      <w:r>
        <w:rPr>
          <w:color w:val="000000"/>
          <w:sz w:val="24"/>
          <w:szCs w:val="24"/>
        </w:rPr>
        <w:br/>
        <w:t xml:space="preserve">On the third decay path, a twisting around the C5-C6 bond can be observed along with the torsion around the C5 and C6 atoms leading to a rotation of the substituents in the opposite direction. Between the </w:t>
      </w:r>
      <w:r>
        <w:rPr>
          <w:color w:val="000000"/>
          <w:position w:val="-3"/>
          <w:sz w:val="24"/>
          <w:szCs w:val="24"/>
        </w:rPr>
        <w:drawing>
          <wp:inline distT="0" distB="0" distL="0" distR="0">
            <wp:extent cx="115200" cy="72000"/>
            <wp:docPr id="53482809" name="name1547f8ec5c66c6" descr="imgtmp_32636_int_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32636_int_4.gif"/>
                    <pic:cNvPicPr/>
                  </pic:nvPicPr>
                  <pic:blipFill>
                    <a:blip r:embed="rId1547f8ec5c6674" cstate="print"/>
                    <a:stretch>
                      <a:fillRect/>
                    </a:stretch>
                  </pic:blipFill>
                  <pic:spPr>
                    <a:xfrm>
                      <a:off x="0" y="0"/>
                      <a:ext cx="115200" cy="72000"/>
                    </a:xfrm>
                    <a:prstGeom prst="rect">
                      <a:avLst/>
                    </a:prstGeom>
                    <a:ln w="0">
                      <a:noFill/>
                    </a:ln>
                  </pic:spPr>
                </pic:pic>
              </a:graphicData>
            </a:graphic>
          </wp:inline>
        </w:drawing>
      </w:r>
      <w:r>
        <w:rPr>
          <w:color w:val="000000"/>
          <w:sz w:val="24"/>
          <w:szCs w:val="24"/>
        </w:rPr>
        <w:t xml:space="preserve">-</w:t>
      </w:r>
      <w:r>
        <w:rPr>
          <w:color w:val="000000"/>
          <w:position w:val="-3"/>
          <w:sz w:val="24"/>
          <w:szCs w:val="24"/>
        </w:rPr>
        <w:drawing>
          <wp:inline distT="0" distB="0" distL="0" distR="0">
            <wp:extent cx="115200" cy="72000"/>
            <wp:docPr id="37470671" name="name1547f8ec5c68bb" descr="imgtmp_32636_int_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32636_int_5.gif"/>
                    <pic:cNvPicPr/>
                  </pic:nvPicPr>
                  <pic:blipFill>
                    <a:blip r:embed="rId1547f8ec5c6869" cstate="print"/>
                    <a:stretch>
                      <a:fillRect/>
                    </a:stretch>
                  </pic:blipFill>
                  <pic:spPr>
                    <a:xfrm>
                      <a:off x="0" y="0"/>
                      <a:ext cx="115200" cy="72000"/>
                    </a:xfrm>
                    <a:prstGeom prst="rect">
                      <a:avLst/>
                    </a:prstGeom>
                    <a:ln w="0">
                      <a:noFill/>
                    </a:ln>
                  </pic:spPr>
                </pic:pic>
              </a:graphicData>
            </a:graphic>
          </wp:inline>
        </w:drawing>
      </w:r>
      <w:r>
        <w:rPr>
          <w:color w:val="000000"/>
          <w:sz w:val="24"/>
          <w:szCs w:val="24"/>
        </w:rPr>
        <w:t xml:space="preserve">* minimum and the conical intersection with the ground state an additional minimum was found. As this minimum lies 0.4-0.5 eV higher in energy than the </w:t>
      </w:r>
      <w:r>
        <w:rPr>
          <w:color w:val="000000"/>
          <w:position w:val="-3"/>
          <w:sz w:val="24"/>
          <w:szCs w:val="24"/>
        </w:rPr>
        <w:drawing>
          <wp:inline distT="0" distB="0" distL="0" distR="0">
            <wp:extent cx="115200" cy="72000"/>
            <wp:docPr id="37484488" name="name1547f8ec5c6b60" descr="imgtmp_32636_int_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32636_int_6.gif"/>
                    <pic:cNvPicPr/>
                  </pic:nvPicPr>
                  <pic:blipFill>
                    <a:blip r:embed="rId1547f8ec5c6b06" cstate="print"/>
                    <a:stretch>
                      <a:fillRect/>
                    </a:stretch>
                  </pic:blipFill>
                  <pic:spPr>
                    <a:xfrm>
                      <a:off x="0" y="0"/>
                      <a:ext cx="115200" cy="72000"/>
                    </a:xfrm>
                    <a:prstGeom prst="rect">
                      <a:avLst/>
                    </a:prstGeom>
                    <a:ln w="0">
                      <a:noFill/>
                    </a:ln>
                  </pic:spPr>
                </pic:pic>
              </a:graphicData>
            </a:graphic>
          </wp:inline>
        </w:drawing>
      </w:r>
      <w:r>
        <w:rPr>
          <w:color w:val="000000"/>
          <w:sz w:val="24"/>
          <w:szCs w:val="24"/>
        </w:rPr>
        <w:t xml:space="preserve">-</w:t>
      </w:r>
      <w:r>
        <w:rPr>
          <w:color w:val="000000"/>
          <w:position w:val="-3"/>
          <w:sz w:val="24"/>
          <w:szCs w:val="24"/>
        </w:rPr>
        <w:drawing>
          <wp:inline distT="0" distB="0" distL="0" distR="0">
            <wp:extent cx="115200" cy="72000"/>
            <wp:docPr id="72976056" name="name1547f8ec5c6d43" descr="imgtmp_32636_int_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32636_int_7.gif"/>
                    <pic:cNvPicPr/>
                  </pic:nvPicPr>
                  <pic:blipFill>
                    <a:blip r:embed="rId1547f8ec5c6cf1" cstate="print"/>
                    <a:stretch>
                      <a:fillRect/>
                    </a:stretch>
                  </pic:blipFill>
                  <pic:spPr>
                    <a:xfrm>
                      <a:off x="0" y="0"/>
                      <a:ext cx="115200" cy="72000"/>
                    </a:xfrm>
                    <a:prstGeom prst="rect">
                      <a:avLst/>
                    </a:prstGeom>
                    <a:ln w="0">
                      <a:noFill/>
                    </a:ln>
                  </pic:spPr>
                </pic:pic>
              </a:graphicData>
            </a:graphic>
          </wp:inline>
        </w:drawing>
      </w:r>
      <w:r>
        <w:rPr>
          <w:color w:val="000000"/>
          <w:sz w:val="24"/>
          <w:szCs w:val="24"/>
        </w:rPr>
        <w:t xml:space="preserve">* minimum at both CASSCF and CCSD levels, the barrier corresponding to this path must be even higher. In the case of cytosine, considerably lower energy (about 0.1 eV) was needed to approach this intersection.</w:t>
      </w:r>
      <w:r>
        <w:rPr>
          <w:color w:val="000000"/>
          <w:sz w:val="24"/>
          <w:szCs w:val="24"/>
        </w:rPr>
        <w:br/>
        <w:t xml:space="preserve">So far, our results indicate that decay along the second path is favoured. The barrier along the second path is still higher than the lowest barrier for cytosine, which can explain the difference in the lifetimes.</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[1] Blancafort et al., J. Phys. Chem. A 109, 20 (2005), 4431-4436.</w:t>
      </w:r>
      <w:r>
        <w:rPr>
          <w:color w:val="000000"/>
          <w:sz w:val="24"/>
          <w:szCs w:val="24"/>
        </w:rPr>
        <w:br/>
        <w:t xml:space="preserve">[2] Lobsiger et al., J. Phys. Chem. B 118, 11 (2014), 2973-2984.</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642488">
    <w:multiLevelType w:val="hybridMultilevel"/>
    <w:lvl w:ilvl="0" w:tplc="719618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642488">
    <w:abstractNumId w:val="786424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2798567" Type="http://schemas.openxmlformats.org/officeDocument/2006/relationships/numbering" Target="numbering.xml"/><Relationship Id="rId1547f8ec5c5fea" Type="http://schemas.openxmlformats.org/officeDocument/2006/relationships/image" Target="media/imgrId1547f8ec5c5fea.gif"/><Relationship Id="rId1547f8ec5c628f" Type="http://schemas.openxmlformats.org/officeDocument/2006/relationships/image" Target="media/imgrId1547f8ec5c628f.gif"/><Relationship Id="rId1547f8ec5c6474" Type="http://schemas.openxmlformats.org/officeDocument/2006/relationships/image" Target="media/imgrId1547f8ec5c6474.gif"/><Relationship Id="rId1547f8ec5c6674" Type="http://schemas.openxmlformats.org/officeDocument/2006/relationships/image" Target="media/imgrId1547f8ec5c6674.gif"/><Relationship Id="rId1547f8ec5c6869" Type="http://schemas.openxmlformats.org/officeDocument/2006/relationships/image" Target="media/imgrId1547f8ec5c6869.gif"/><Relationship Id="rId1547f8ec5c6b06" Type="http://schemas.openxmlformats.org/officeDocument/2006/relationships/image" Target="media/imgrId1547f8ec5c6b06.gif"/><Relationship Id="rId1547f8ec5c6cf1" Type="http://schemas.openxmlformats.org/officeDocument/2006/relationships/image" Target="media/imgrId1547f8ec5c6cf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