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DÜRVANGER</w:t>
            </w:r>
          </w:p>
          <w:p w:rsidR="00C275A3" w:rsidRDefault="00A96AEC" w:rsidP="00C275A3">
            <w:pPr>
              <w:pStyle w:val="Hallgatokepzes"/>
            </w:pPr>
            <w:r>
              <w:t>Chemistry</w:t>
            </w:r>
            <w:r>
              <w:br/>
            </w:r>
            <w:r w:rsidR="00E77B23">
              <w:t>MSc, 9.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Dóra K. Menyhárd</w:t>
            </w:r>
          </w:p>
          <w:p w:rsidR="00DB4822" w:rsidRDefault="00DB4822" w:rsidP="00E11062">
            <w:pPr>
              <w:pStyle w:val="Konzulensek"/>
            </w:pPr>
            <w:r w:rsidRPr="00DB4822">
              <w:t>senior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Studying the effect of internal linkers containing thioether bond among cyclic peptide inhibitors of a protease enzyme using theoretical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molecular dynamic simulation; immune system; Bowman-Birk inhibitor; capping group; diaminopropionic acid</w:t>
      </w:r>
      <w:r>
        <w:t xml:space="preserve"/>
      </w:r>
    </w:p>
    <w:p>
      <w:pPr>
        <w:widowControl w:val="on"/>
        <w:pBdr/>
        <w:spacing w:before="240" w:after="240" w:line="240" w:lineRule="auto"/>
        <w:ind w:left="0" w:right="0"/>
        <w:jc w:val="left"/>
      </w:pPr>
      <w:r>
        <w:rPr>
          <w:color w:val="000000"/>
          <w:sz w:val="24"/>
          <w:szCs w:val="24"/>
        </w:rPr>
        <w:t xml:space="preserve">During my TDK work, I studied new inhibitors of MASP2, a key enzyme of the immune system, in which the disulfide bond of the original peptide was replaced with a linker containing a thioether bond.</w:t>
      </w:r>
      <w:r>
        <w:rPr>
          <w:color w:val="000000"/>
          <w:sz w:val="24"/>
          <w:szCs w:val="24"/>
        </w:rPr>
        <w:br/>
        <w:t xml:space="preserve">The efficiency of the inhibitors initially improved while approaching the length of the original disulfide bridge (with incorporation of lysine, ornithine, diaminobutanoic acid and diaminopropionic acid), however in the case of the peptide containing diaminoglycine, that is only a one heavy atom longer than the disulfide bridge, the trend was reversed. The synthesis and purification of the peptide containing diaminopropionic acid resulted in two isomers, which inhibited the enzyme with different efficiency.</w:t>
      </w:r>
      <w:r>
        <w:rPr>
          <w:color w:val="000000"/>
          <w:sz w:val="24"/>
          <w:szCs w:val="24"/>
        </w:rPr>
        <w:br/>
        <w:t xml:space="preserve">The goal of my work was to explain the above mentioned findings using the methods of theoretical chemistry.</w:t>
      </w:r>
    </w:p>
    <w:p>
      <w:pPr>
        <w:widowControl w:val="on"/>
        <w:pBdr/>
        <w:spacing w:before="240" w:after="240" w:line="240" w:lineRule="auto"/>
        <w:ind w:left="0" w:right="0"/>
        <w:jc w:val="left"/>
      </w:pPr>
      <w:r>
        <w:rPr>
          <w:color w:val="000000"/>
          <w:sz w:val="24"/>
          <w:szCs w:val="24"/>
        </w:rPr>
        <w:t xml:space="preserve">I have determined the conformation of the free inhibitors. I showed that in the case of the peptide containing diaminoglycine, the cis isomer of the amide bond in the linker is more stable, while in the case of the other inhibitors, the trans form is energetically favorable. This behaviour can be explained with the decreased conformational freedom of the shorter linkers. According to my results, the two isomers of the peptide containing diaminopropionic acid can be the cis and trans isomers of the amide bond in the linker.</w:t>
      </w:r>
    </w:p>
    <w:p>
      <w:pPr>
        <w:widowControl w:val="on"/>
        <w:pBdr/>
        <w:spacing w:before="240" w:after="240" w:line="240" w:lineRule="auto"/>
        <w:ind w:left="0" w:right="0"/>
        <w:jc w:val="left"/>
      </w:pPr>
      <w:r>
        <w:rPr>
          <w:color w:val="000000"/>
          <w:sz w:val="24"/>
          <w:szCs w:val="24"/>
        </w:rPr>
        <w:t xml:space="preserve">The conformation of the free inhibitors is only slightly different, however during the examination of the important properties of the peptides that can be relevant to the binding, I could not explain the differences found in their effectiveness. For this reason, I continued my work with modeling the complexes of the inhibitors and the enzyme.</w:t>
      </w:r>
    </w:p>
    <w:p>
      <w:pPr>
        <w:widowControl w:val="on"/>
        <w:pBdr/>
        <w:spacing w:before="240" w:after="240" w:line="240" w:lineRule="auto"/>
        <w:ind w:left="0" w:right="0"/>
        <w:jc w:val="left"/>
      </w:pPr>
      <w:r>
        <w:rPr>
          <w:color w:val="000000"/>
          <w:sz w:val="24"/>
          <w:szCs w:val="24"/>
        </w:rPr>
        <w:t xml:space="preserve">During studies of the complexes I found two toplogically different binding modes could be isolated, which presumably belong to different stages of substrate binding process.</w:t>
      </w:r>
    </w:p>
    <w:p>
      <w:pPr>
        <w:widowControl w:val="on"/>
        <w:pBdr/>
        <w:spacing w:before="240" w:after="240" w:line="240" w:lineRule="auto"/>
        <w:ind w:left="0" w:right="0"/>
        <w:jc w:val="left"/>
      </w:pPr>
      <w:r>
        <w:rPr>
          <w:color w:val="000000"/>
          <w:sz w:val="24"/>
          <w:szCs w:val="24"/>
        </w:rPr>
        <w:t xml:space="preserve">I proposed an explanation for the efficiency increasing effect of the presence of capping groups. Incorporation of the capping groups caused a displacement of loop 3, which resulted in the opening of a hydrophobic pocket which can accommodate the Tyr2 sidechain of the inhibitor. The resulting expansion of the contact interface can explain the increased efficiency.</w:t>
      </w:r>
    </w:p>
    <w:p>
      <w:pPr>
        <w:widowControl w:val="on"/>
        <w:pBdr/>
        <w:spacing w:before="240" w:after="240" w:line="240" w:lineRule="auto"/>
        <w:ind w:left="0" w:right="0"/>
        <w:jc w:val="left"/>
      </w:pPr>
      <w:r>
        <w:rPr>
          <w:color w:val="000000"/>
          <w:sz w:val="24"/>
          <w:szCs w:val="24"/>
        </w:rPr>
        <w:t xml:space="preserve">I have identified the important properties of the complexes regarding complex formation. I've ascertained that these properties must be examined together, because we couldn't find a property, which can explain the tendencies alone.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27410">
    <w:multiLevelType w:val="hybridMultilevel"/>
    <w:lvl w:ilvl="0" w:tplc="45468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27410">
    <w:abstractNumId w:val="33527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139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