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EORDOG</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Kele</w:t>
            </w:r>
          </w:p>
          <w:p w:rsidR="00DB4822" w:rsidRDefault="00DB4822" w:rsidP="00E11062">
            <w:pPr>
              <w:pStyle w:val="Konzulensek"/>
            </w:pPr>
            <w:r w:rsidRPr="00DB4822">
              <w:t>senior research fellow,  HAS Research Centre for Natural Sciences</w:t>
            </w:r>
          </w:p>
        </w:tc>
      </w:tr>
      <w:tr w:rsidR="00DB4822" w:rsidTr="00DB4822">
        <w:tc>
          <w:tcPr>
            <w:tcW w:w="9854" w:type="dxa"/>
          </w:tcPr>
          <w:p w:rsidR="00DB4822" w:rsidRPr="00DB4822" w:rsidRDefault="00DB4822" w:rsidP="004D7940">
            <w:pPr>
              <w:pStyle w:val="Konzulensek"/>
            </w:pPr>
            <w:r w:rsidRPr="00DB4822">
              <w:t>Andras Herner</w:t>
            </w:r>
          </w:p>
          <w:p w:rsidR="00DB4822" w:rsidRDefault="00DB4822" w:rsidP="00E11062">
            <w:pPr>
              <w:pStyle w:val="Konzulensek"/>
            </w:pPr>
            <w:r w:rsidRPr="00DB4822">
              <w:t>research fellow,  HAS Research Centre for Natural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characterisation of novel NIR emitting fluorescent labels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fluorescent labeling; fluorescent microscopy; bioorthogonal reaction; mega-Stokes-shift; polymethine-fluorophores</w:t>
      </w:r>
      <w:r>
        <w:t xml:space="preserve"/>
      </w:r>
    </w:p>
    <w:p>
      <w:pPr>
        <w:widowControl w:val="on"/>
        <w:pBdr/>
        <w:spacing w:before="240" w:after="240" w:line="240" w:lineRule="auto"/>
        <w:ind w:left="0" w:right="0"/>
        <w:jc w:val="left"/>
      </w:pPr>
      <w:r>
        <w:rPr>
          <w:color w:val="000000"/>
          <w:sz w:val="24"/>
          <w:szCs w:val="24"/>
        </w:rPr>
        <w:t xml:space="preserve">Imaging techniques are important scientific tools in observing and exploring various biological processes. Fluorescent imaging techniques are especially important, which is well shown by the two Nobel prizes recently awarded in this filed. (2008, 2014) Fluorescent imaging relies on the fluorescent labeling of the sample. The labeling determines the information that can be gained from a sample, and many strategies have been developed for its improvement. Among the widespread methods, the use of covalently bonded small synthetic dyes offers the widest applicability and the smallest perturbation of the sample. However, ligation under physiological conditions with sufficient selectivity is challenging. An ideal case is – from the ligation point of view – when the molecule is suitable for bioorthogonal reactions. The spectral properties of the labels influence the contrast, resolution, penetration and sensitivity of the imaging system. Ideal photophysical properties are emission in the NIR range of the spectrum, large Stokes-shift, great brightness and the so-called fluorogenic property. This research was aimed to synthetize compounds with all above mentioned ideal properties. The planned structures were based on previously published molecules of our research group [1,2]. With the modifications made, our purpose was to shift the absorption and emission spectra towards the red region, and to enhance water solubility. The synthetized compounds (Figure 1.) were tested in model reactions. Photophysical properties were examined as well. The measurements proved that all but one desired feature have been successfully achieved, and the developed dyes are suitable for biological imaging.</w:t>
      </w:r>
    </w:p>
    <w:p>
      <w:pPr>
        <w:widowControl w:val="on"/>
        <w:pBdr/>
        <w:spacing w:before="240" w:after="240" w:line="240" w:lineRule="auto"/>
        <w:ind w:left="450" w:right="0"/>
        <w:jc w:val="left"/>
      </w:pPr>
      <w:r>
        <w:rPr>
          <w:color w:val="000000"/>
          <w:sz w:val="24"/>
          <w:szCs w:val="24"/>
        </w:rPr>
        <w:drawing>
          <wp:inline distT="0" distB="0" distL="0" distR="0">
            <wp:extent cx="4831200" cy="1101600"/>
            <wp:docPr id="44057430" name="name154ad923fa26f5" descr="imgtmp_32640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40_int_1.png"/>
                    <pic:cNvPicPr/>
                  </pic:nvPicPr>
                  <pic:blipFill>
                    <a:blip r:embed="rId154ad923fa26a1" cstate="print"/>
                    <a:stretch>
                      <a:fillRect/>
                    </a:stretch>
                  </pic:blipFill>
                  <pic:spPr>
                    <a:xfrm>
                      <a:off x="0" y="0"/>
                      <a:ext cx="4831200" cy="1101600"/>
                    </a:xfrm>
                    <a:prstGeom prst="rect">
                      <a:avLst/>
                    </a:prstGeom>
                    <a:ln w="0">
                      <a:noFill/>
                    </a:ln>
                  </pic:spPr>
                </pic:pic>
              </a:graphicData>
            </a:graphic>
          </wp:inline>
        </w:drawing>
      </w:r>
    </w:p>
    <w:p>
      <w:pPr>
        <w:widowControl w:val="on"/>
        <w:pBdr/>
        <w:spacing w:before="240" w:after="240" w:line="240" w:lineRule="auto"/>
        <w:ind w:left="2250" w:right="0"/>
        <w:jc w:val="left"/>
      </w:pPr>
      <w:r>
        <w:rPr>
          <w:color w:val="000000"/>
          <w:sz w:val="24"/>
          <w:szCs w:val="24"/>
        </w:rPr>
        <w:t xml:space="preserve">Figure 1. The two azide containing fluorescent labels</w:t>
      </w:r>
    </w:p>
    <w:p>
      <w:pPr>
        <w:widowControl w:val="on"/>
        <w:pBdr/>
        <w:spacing w:before="240" w:after="240" w:line="240" w:lineRule="auto"/>
        <w:ind w:left="0" w:right="0"/>
        <w:jc w:val="left"/>
      </w:pPr>
      <w:r>
        <w:rPr>
          <w:color w:val="000000"/>
          <w:sz w:val="24"/>
          <w:szCs w:val="24"/>
        </w:rPr>
        <w:t xml:space="preserve">[1]A. Herner, I. Nikić, M. Kállay, E. A. Lemke, P. Kele, Org. Biomol. Chem., 2013, 11, 3297.</w:t>
      </w:r>
      <w:r>
        <w:rPr>
          <w:color w:val="000000"/>
          <w:sz w:val="24"/>
          <w:szCs w:val="24"/>
        </w:rPr>
        <w:br/>
        <w:t xml:space="preserve">[2]A. Herner, G. E. Girona, I. Nikić, M. Kállay, E. A. Lemke, P. Kele, Bioconjugate Chem., 2014, 25, 1370.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08127">
    <w:multiLevelType w:val="hybridMultilevel"/>
    <w:lvl w:ilvl="0" w:tplc="79923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08127">
    <w:abstractNumId w:val="60508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801605" Type="http://schemas.openxmlformats.org/officeDocument/2006/relationships/numbering" Target="numbering.xml"/><Relationship Id="rId154ad923fa26a1" Type="http://schemas.openxmlformats.org/officeDocument/2006/relationships/image" Target="media/imgrId154ad923fa26a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