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RICHÁRD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Iván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magántanár,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Ákos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 TTK AKI Polimer Kémiai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PEGMA és DEAAm kopolimerjeinekek előállítása és szerkezetük hatása intelligens termoreszponzív viselkedésükre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polimer; LCST; ATRP; DEAAm; PEG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polimerek a modern világ egyik leggyakrabban és legszélesebb körben alkalmazott anyagai. Nemcsak a mindennapi életünk során, hanem a legtöbb iparágban is kezdik átvenni a vezető szerepet (még azon esetekben is, ahol eddig természetes forrása volt az alapanyagoknak).</w:t>
      </w:r>
      <w:r>
        <w:rPr>
          <w:color w:val="000000"/>
          <w:sz w:val="24"/>
          <w:szCs w:val="24"/>
        </w:rPr>
        <w:br/>
        <w:t xml:space="preserve">Munkám során feladatom olyan kopolimerek előállítása volt, amelyek vizes oldata rendelkezik alsó kritikus szételegyedési hőmérsékleti ponttal (LCST). Ehhez dietil-akrilamidot (DEAAm) és poli(etilén-glikol) (PEG) alapú makromonomereket használtam. Három különböző polimer sorozatot állítottam elő, melynek során DEAAm-ot 300 g/mol molekulatömegű poli(etilén-glikol)-metil-éter-metakriláttal (PEGMEMA</w:t>
      </w:r>
      <w:r>
        <w:rPr>
          <w:color w:val="000000"/>
          <w:position w:val="-4"/>
          <w:sz w:val="21"/>
          <w:szCs w:val="21"/>
          <w:vertAlign w:val="subscript"/>
        </w:rPr>
        <w:t xml:space="preserve">300</w:t>
      </w:r>
      <w:r>
        <w:rPr>
          <w:color w:val="000000"/>
          <w:sz w:val="24"/>
          <w:szCs w:val="24"/>
        </w:rPr>
        <w:t xml:space="preserve">), di(etilén-glikol)-etil-éter-akriláttal (PEGEEA</w:t>
      </w:r>
      <w:r>
        <w:rPr>
          <w:color w:val="000000"/>
          <w:position w:val="-4"/>
          <w:sz w:val="21"/>
          <w:szCs w:val="21"/>
          <w:vertAlign w:val="subscript"/>
        </w:rPr>
        <w:t xml:space="preserve">188</w:t>
      </w:r>
      <w:r>
        <w:rPr>
          <w:color w:val="000000"/>
          <w:sz w:val="24"/>
          <w:szCs w:val="24"/>
        </w:rPr>
        <w:t xml:space="preserve">), illetve di(etilén-glikol)-metil-éter-metakriláttal (PEGMEMA</w:t>
      </w:r>
      <w:r>
        <w:rPr>
          <w:color w:val="000000"/>
          <w:position w:val="-4"/>
          <w:sz w:val="21"/>
          <w:szCs w:val="21"/>
          <w:vertAlign w:val="subscript"/>
        </w:rPr>
        <w:t xml:space="preserve">188</w:t>
      </w:r>
      <w:r>
        <w:rPr>
          <w:color w:val="000000"/>
          <w:sz w:val="24"/>
          <w:szCs w:val="24"/>
        </w:rPr>
        <w:t xml:space="preserve">) kopolimerizáltam ATRP mechanizmussal [1][2].</w:t>
      </w:r>
      <w:r>
        <w:rPr>
          <w:color w:val="000000"/>
          <w:sz w:val="24"/>
          <w:szCs w:val="24"/>
        </w:rPr>
        <w:br/>
        <w:t xml:space="preserve">Ezután az elkészült kopolimereket tisztítottam, majd vizsgáltam, hogy a különböző PEG-(met)akrilát komonomer, valamint a különböző összetétel hogyan befolyásolja a kapott polimer vizes oldatának LCST értékét.</w:t>
      </w:r>
      <w:r>
        <w:rPr>
          <w:color w:val="000000"/>
          <w:sz w:val="24"/>
          <w:szCs w:val="24"/>
        </w:rPr>
        <w:br/>
        <w:t xml:space="preserve">A kapott eredmények alapján megállapítható, hogy a vizes oldatok LCST-je mindhárom PEG-(met)akrilát komonomer esetén más tendencia szerint változik az öszetétellel. Míg a PEGMEMA</w:t>
      </w:r>
      <w:r>
        <w:rPr>
          <w:color w:val="000000"/>
          <w:position w:val="-4"/>
          <w:sz w:val="21"/>
          <w:szCs w:val="21"/>
          <w:vertAlign w:val="subscript"/>
        </w:rPr>
        <w:t xml:space="preserve">300</w:t>
      </w:r>
      <w:r>
        <w:rPr>
          <w:color w:val="000000"/>
          <w:sz w:val="24"/>
          <w:szCs w:val="24"/>
        </w:rPr>
        <w:t xml:space="preserve"> és az PEGEEA</w:t>
      </w:r>
      <w:r>
        <w:rPr>
          <w:color w:val="000000"/>
          <w:position w:val="-4"/>
          <w:sz w:val="21"/>
          <w:szCs w:val="21"/>
          <w:vertAlign w:val="subscript"/>
        </w:rPr>
        <w:t xml:space="preserve">188</w:t>
      </w:r>
      <w:r>
        <w:rPr>
          <w:color w:val="000000"/>
          <w:sz w:val="24"/>
          <w:szCs w:val="24"/>
        </w:rPr>
        <w:t xml:space="preserve"> komonomer esetében lineáris összefüggés figyelhető meg, addig a PEGMEMA</w:t>
      </w:r>
      <w:r>
        <w:rPr>
          <w:color w:val="000000"/>
          <w:position w:val="-4"/>
          <w:sz w:val="21"/>
          <w:szCs w:val="21"/>
          <w:vertAlign w:val="subscript"/>
        </w:rPr>
        <w:t xml:space="preserve">188</w:t>
      </w:r>
      <w:r>
        <w:rPr>
          <w:color w:val="000000"/>
          <w:sz w:val="24"/>
          <w:szCs w:val="24"/>
        </w:rPr>
        <w:t xml:space="preserve"> komonomer-tartalmú sorozatnál LCST-maximum észlelhető 50 m/m%-os összetétel környékén.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Kato, M; Kamigato, M.; Sawamoto, M.; Higashimura, T. Macromolecules 1995, 28, 1721-1723</w:t>
      </w:r>
      <w:r>
        <w:rPr>
          <w:color w:val="000000"/>
          <w:sz w:val="24"/>
          <w:szCs w:val="24"/>
        </w:rPr>
        <w:br/>
        <w:t xml:space="preserve">[2] Wang, J-S.; Matyjaszewski, K. J. Am. Chem. Soc. 1995, 117, 5614-5615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08870">
    <w:multiLevelType w:val="hybridMultilevel"/>
    <w:lvl w:ilvl="0" w:tplc="522639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08870">
    <w:abstractNumId w:val="520088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06696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