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RICHÁRD FEKETE</w:t>
            </w:r>
          </w:p>
          <w:p w:rsidR="00C275A3" w:rsidRDefault="00A96AEC" w:rsidP="00C275A3">
            <w:pPr>
              <w:pStyle w:val="Hallgatokepzes"/>
            </w:pPr>
            <w:r>
              <w:t>Chemistry</w:t>
            </w:r>
            <w:r>
              <w:br/>
            </w:r>
            <w:r w:rsidR="00E77B23">
              <w:t>BSc, 7.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Béla Iván</w:t>
            </w:r>
          </w:p>
          <w:p w:rsidR="00DB4822" w:rsidRDefault="00DB4822" w:rsidP="00E11062">
            <w:pPr>
              <w:pStyle w:val="Konzulensek"/>
            </w:pPr>
            <w:r w:rsidRPr="00DB4822">
              <w:t>professor, ELTE TTK</w:t>
            </w:r>
          </w:p>
        </w:tc>
      </w:tr>
      <w:tr w:rsidR="00DB4822" w:rsidTr="00DB4822">
        <w:tc>
          <w:tcPr>
            <w:tcW w:w="9854" w:type="dxa"/>
          </w:tcPr>
          <w:p w:rsidR="00DB4822" w:rsidRPr="00DB4822" w:rsidRDefault="00DB4822" w:rsidP="004D7940">
            <w:pPr>
              <w:pStyle w:val="Konzulensek"/>
            </w:pPr>
            <w:r w:rsidRPr="00DB4822">
              <w:t>Ákos Szabó</w:t>
            </w:r>
          </w:p>
          <w:p w:rsidR="00DB4822" w:rsidRDefault="00DB4822" w:rsidP="00E11062">
            <w:pPr>
              <w:pStyle w:val="Konzulensek"/>
            </w:pPr>
            <w:r w:rsidRPr="00DB4822">
              <w:t>research fellow,  HAS RCNS IMEC Polymer Chemistry Research Group</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Synthesize of PEGMA and DEAAm copolymers and the effect of the structure for their intelligent thermoresponsive behavior</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polymer; LCST; ATRP; DEAAm; PEG</w:t>
      </w:r>
      <w:r>
        <w:t xml:space="preserve"/>
      </w:r>
    </w:p>
    <w:p>
      <w:pPr>
        <w:widowControl w:val="on"/>
        <w:pBdr/>
        <w:spacing w:before="240" w:after="240" w:line="240" w:lineRule="auto"/>
        <w:ind w:left="0" w:right="0"/>
        <w:jc w:val="left"/>
      </w:pPr>
      <w:r>
        <w:rPr>
          <w:color w:val="000000"/>
          <w:sz w:val="24"/>
          <w:szCs w:val="24"/>
        </w:rPr>
        <w:t xml:space="preserve">Polymers are widely used materials nowadays. They have a special place in our everydays life, such as in the several fields of industry, since they can substitute natural materials as well in many cases.</w:t>
      </w:r>
      <w:r>
        <w:rPr>
          <w:color w:val="000000"/>
          <w:sz w:val="24"/>
          <w:szCs w:val="24"/>
        </w:rPr>
        <w:br/>
        <w:t xml:space="preserve">During my work copolymers with Lower Critical Solubility Temperature (LCST) were synthesized by copolymerization of diethyl-acrylamide (DEAAm) and poly(ethylene glycol) (PEG) based macromonomers. Three series of copolymers were prepared by copolymerization of DEAAm with poly(ethylene glycol) methyl ether methacrylate with 300 g/mol molar mass (PEGMEMA</w:t>
      </w:r>
      <w:r>
        <w:rPr>
          <w:color w:val="000000"/>
          <w:position w:val="-4"/>
          <w:sz w:val="21"/>
          <w:szCs w:val="21"/>
          <w:vertAlign w:val="subscript"/>
        </w:rPr>
        <w:t xml:space="preserve">300</w:t>
      </w:r>
      <w:r>
        <w:rPr>
          <w:color w:val="000000"/>
          <w:sz w:val="24"/>
          <w:szCs w:val="24"/>
        </w:rPr>
        <w:t xml:space="preserve">), di(ethylene glycol) methyl ether methacrylate (PEGMEMA</w:t>
      </w:r>
      <w:r>
        <w:rPr>
          <w:color w:val="000000"/>
          <w:position w:val="-4"/>
          <w:sz w:val="21"/>
          <w:szCs w:val="21"/>
          <w:vertAlign w:val="subscript"/>
        </w:rPr>
        <w:t xml:space="preserve">188</w:t>
      </w:r>
      <w:r>
        <w:rPr>
          <w:color w:val="000000"/>
          <w:sz w:val="24"/>
          <w:szCs w:val="24"/>
        </w:rPr>
        <w:t xml:space="preserve">), or di(ethylene glycol) ethyl ether acrylate (PEGEEA</w:t>
      </w:r>
      <w:r>
        <w:rPr>
          <w:color w:val="000000"/>
          <w:position w:val="-4"/>
          <w:sz w:val="21"/>
          <w:szCs w:val="21"/>
          <w:vertAlign w:val="subscript"/>
        </w:rPr>
        <w:t xml:space="preserve">188</w:t>
      </w:r>
      <w:r>
        <w:rPr>
          <w:color w:val="000000"/>
          <w:sz w:val="24"/>
          <w:szCs w:val="24"/>
        </w:rPr>
        <w:t xml:space="preserve">), respectively, using Atom Transfer Radical Polymerization (ATRP) mechanism [1,2].</w:t>
      </w:r>
      <w:r>
        <w:rPr>
          <w:color w:val="000000"/>
          <w:sz w:val="24"/>
          <w:szCs w:val="24"/>
        </w:rPr>
        <w:br/>
        <w:t xml:space="preserve">The obtained copolymers were purified and the LCST behavior of their solutions in water were studied to conclude the relationship between LCST and type of PEG (meth)acrylate comonomer and comonomer ratio, respectively.</w:t>
      </w:r>
      <w:r>
        <w:rPr>
          <w:color w:val="000000"/>
          <w:sz w:val="24"/>
          <w:szCs w:val="24"/>
        </w:rPr>
        <w:br/>
        <w:t xml:space="preserve">Our results show that there is a considerable difference between the thermoresponsive behavior of the solution of the copolymers containing different PEG (meth)acrylate comonomer. While linear correlation between the copolymer composition and LCST can be seen in the case of two copolymer series (PEGMEMA</w:t>
      </w:r>
      <w:r>
        <w:rPr>
          <w:color w:val="000000"/>
          <w:position w:val="-4"/>
          <w:sz w:val="21"/>
          <w:szCs w:val="21"/>
          <w:vertAlign w:val="subscript"/>
        </w:rPr>
        <w:t xml:space="preserve">300</w:t>
      </w:r>
      <w:r>
        <w:rPr>
          <w:color w:val="000000"/>
          <w:sz w:val="24"/>
          <w:szCs w:val="24"/>
        </w:rPr>
        <w:t xml:space="preserve"> and PEGEEA</w:t>
      </w:r>
      <w:r>
        <w:rPr>
          <w:color w:val="000000"/>
          <w:position w:val="-4"/>
          <w:sz w:val="21"/>
          <w:szCs w:val="21"/>
          <w:vertAlign w:val="subscript"/>
        </w:rPr>
        <w:t xml:space="preserve">188</w:t>
      </w:r>
      <w:r>
        <w:rPr>
          <w:color w:val="000000"/>
          <w:sz w:val="24"/>
          <w:szCs w:val="24"/>
        </w:rPr>
        <w:t xml:space="preserve">), the copolymers contain PEGMEMA</w:t>
      </w:r>
      <w:r>
        <w:rPr>
          <w:color w:val="000000"/>
          <w:position w:val="-4"/>
          <w:sz w:val="21"/>
          <w:szCs w:val="21"/>
          <w:vertAlign w:val="subscript"/>
        </w:rPr>
        <w:t xml:space="preserve">188</w:t>
      </w:r>
      <w:r>
        <w:rPr>
          <w:color w:val="000000"/>
          <w:sz w:val="24"/>
          <w:szCs w:val="24"/>
        </w:rPr>
        <w:t xml:space="preserve"> didnt change their LCST in high extent with changing composition.</w:t>
      </w:r>
    </w:p>
    <w:p>
      <w:pPr>
        <w:widowControl w:val="on"/>
        <w:pBdr/>
        <w:spacing w:before="240" w:after="240" w:line="240" w:lineRule="auto"/>
        <w:ind w:left="0" w:right="0"/>
        <w:jc w:val="left"/>
      </w:pPr>
      <w:r>
        <w:rPr>
          <w:color w:val="000000"/>
          <w:sz w:val="24"/>
          <w:szCs w:val="24"/>
        </w:rPr>
        <w:t xml:space="preserve">[1] Kato, M; Kamigato, M.; Sawamoto, M.; Higashimura, T. Macromolecules 1995, 28, 1721-1723</w:t>
      </w:r>
      <w:r>
        <w:rPr>
          <w:color w:val="000000"/>
          <w:sz w:val="24"/>
          <w:szCs w:val="24"/>
        </w:rPr>
        <w:br/>
        <w:t xml:space="preserve">[2] Wang, J-S.; Matyjaszewski, K. J. Am. Chem. Soc. 1995, 117, 5614-5615</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104136">
    <w:multiLevelType w:val="hybridMultilevel"/>
    <w:lvl w:ilvl="0" w:tplc="694000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104136">
    <w:abstractNumId w:val="2910413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9175986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