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KANNAR</w:t>
            </w:r>
          </w:p>
          <w:p w:rsidR="00C275A3" w:rsidRDefault="00A96AEC" w:rsidP="00C275A3">
            <w:pPr>
              <w:pStyle w:val="Hallgatokepzes"/>
            </w:pPr>
            <w:r>
              <w:t>MSc in Chemistry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Szalay</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Theoretical analysis of the electronically excited singlet states by the Coupled-Cluster method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excitation energy; oscillator strength; nucleobases; EOM-CCSD; CC3-LR</w:t>
      </w:r>
      <w:r>
        <w:t xml:space="preserve"/>
      </w:r>
    </w:p>
    <w:p>
      <w:pPr>
        <w:widowControl w:val="on"/>
        <w:pBdr/>
        <w:spacing w:before="240" w:after="240" w:line="240" w:lineRule="auto"/>
        <w:ind w:left="0" w:right="0"/>
        <w:jc w:val="left"/>
      </w:pPr>
      <w:r>
        <w:rPr>
          <w:color w:val="000000"/>
          <w:sz w:val="24"/>
          <w:szCs w:val="24"/>
        </w:rPr>
        <w:t xml:space="preserve">In this work, the electronically excited singlet states have been studied to determine the performance of different Coupled-Cluster methods. In our study, the description have been made for about 150 electronically excited states of 28 photochemically interesting organic molecules containing different functional groups with hierarchical series of CC2, CCSD and CC3 Coupled-Cluster methods. CC2 and CCSD methods have been benchmark for the vertical excitation energies and the EOM and LR-type oscillator strength against the high level CC3 method.</w:t>
      </w:r>
    </w:p>
    <w:p>
      <w:pPr>
        <w:widowControl w:val="on"/>
        <w:pBdr/>
        <w:spacing w:before="240" w:after="240" w:line="240" w:lineRule="auto"/>
        <w:ind w:left="0" w:right="0"/>
        <w:jc w:val="left"/>
      </w:pPr>
      <w:r>
        <w:rPr>
          <w:color w:val="000000"/>
          <w:sz w:val="24"/>
          <w:szCs w:val="24"/>
        </w:rPr>
        <w:t xml:space="preserve">As of the result, it can be determined that the vertical excitation energies of the CCSD method is somewhat more systematic than CC2, but on the other hand due to the lower cost of the latter method, it can be applied for larger systems. Regarding the oscillator strength of both CC2 and CCSD methods give qualitatively and quantitatively sufficient results, however, the CCSD values are much more reliable. Comparing the results of the two formalism, the LR-type oscillator strength is always more accurate, but the difference between the EOM and LR values is not too large. For this reason, some of the computational time can be saved by calculating the EOM-type values.</w:t>
      </w:r>
    </w:p>
    <w:p>
      <w:pPr>
        <w:widowControl w:val="on"/>
        <w:pBdr/>
        <w:spacing w:before="240" w:after="240" w:line="240" w:lineRule="auto"/>
        <w:ind w:left="0" w:right="0"/>
        <w:jc w:val="left"/>
      </w:pPr>
      <w:r>
        <w:rPr>
          <w:color w:val="000000"/>
          <w:sz w:val="24"/>
          <w:szCs w:val="24"/>
        </w:rPr>
        <w:t xml:space="preserve">The results presented in this thesis have been documented in two international journals as well [1,2].</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D. Kánnár and P. G. Szalay, J. Chem. Theory Comput. 10, 3757 (2014).</w:t>
      </w:r>
      <w:r>
        <w:rPr>
          <w:color w:val="000000"/>
          <w:sz w:val="24"/>
          <w:szCs w:val="24"/>
        </w:rPr>
        <w:br/>
        <w:t xml:space="preserve">[2] D. Kánnár and P. G. Szalay, J. Mol. Model. 20, 2503 (2014).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10867">
    <w:multiLevelType w:val="hybridMultilevel"/>
    <w:lvl w:ilvl="0" w:tplc="78352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10867">
    <w:abstractNumId w:val="234108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91338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