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KOLTAI</w:t>
            </w:r>
          </w:p>
          <w:p w:rsidR="00C275A3" w:rsidRDefault="00A96AEC" w:rsidP="00C275A3">
            <w:pPr>
              <w:pStyle w:val="Hallgatokepzes"/>
            </w:pPr>
            <w:r>
              <w:t>Chemistry master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PERCZEL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Small system - great problem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bioNMR, protein, peptide, structure, dynamics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Exendin-4 is a short but folded polypeptide used recently to treat Type 2 diabetes. The C-terminus of Exendin-4 is called as the “Trp-cage” foldamer supposed to stabilize the central α-helix of the macromolecule, which secondary structural element plays a key role in binding to GLP1 receptor.</w:t>
      </w:r>
      <w:r>
        <w:rPr>
          <w:color w:val="000000"/>
          <w:sz w:val="24"/>
          <w:szCs w:val="24"/>
        </w:rPr>
        <w:br/>
        <w:t xml:space="preserve">Trp-cage miniproteins constitute a family of peptides, which have the Trp-cage as tertiary structure.</w:t>
      </w:r>
      <w:r>
        <w:rPr>
          <w:color w:val="000000"/>
          <w:sz w:val="24"/>
          <w:szCs w:val="24"/>
        </w:rPr>
        <w:br/>
        <w:t xml:space="preserve">In the ELTE Laboratory of Structural Chemistry and Biology were recently designed and synthesized new disulphide bond stabilized Trp-cage analogues to reduce their internal mobility and to promote their crystallization.</w:t>
      </w:r>
      <w:r>
        <w:rPr>
          <w:color w:val="000000"/>
          <w:sz w:val="24"/>
          <w:szCs w:val="24"/>
        </w:rPr>
        <w:br/>
        <w:t xml:space="preserve">I have used one, two and three dimensional homo- and heteronuclear NMR spectroscopic methods to decipher structural and dynamics changes of disulphide bond containing variants as function of their chemical composition and state.</w:t>
      </w:r>
      <w:r>
        <w:rPr>
          <w:color w:val="000000"/>
          <w:sz w:val="24"/>
          <w:szCs w:val="24"/>
        </w:rPr>
        <w:br/>
        <w:t xml:space="preserve">I have studied the kinetics of the reduction, to interpret the stability of oxidized and reduced form of Trp-cage model proteins.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28111">
    <w:multiLevelType w:val="hybridMultilevel"/>
    <w:lvl w:ilvl="0" w:tplc="67305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28111">
    <w:abstractNumId w:val="83128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17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