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LÉGRÁDY BONIFÁC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 Elemér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Cisztein konformerek vizsgálata Raman és Raman optikai aktivitás spektroszkópiával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kísérleti; DFT; implicit; explicit; oldószermodell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 ciszteinmolekula ikerionos és protonált formáinak vizes oldatokban felvett konformereit vizsgáltam Raman és Raman optikai aktivitás (ROA) spektroszkópiai módszerekkel. A mérési eredmények kiértékeléséhez DFT számításokat végeztem a konformereloszlásra, valamint ezen a szinten számítottam a konformerek Raman és ROA spektrumait is. A vizes közeg ciszteinmolekulára, illetve annak spektrumaira gyakorolt hatását implicit és explicit vízmolekulákkal kombinált oldószermodellel modelleztem. A ciszteinmolekula konformereloszlásának meghatározásakor az ikerionos forma esetében Pecul és munkatársai eredményeiből [1] indultam ki. A protonált forma konformációs analízisét magam végeztem a molekula négy diéderes szögének szisztematikus változtatásával. A protonált konformerek az ikerionosokból formailag levezethetők, azok NH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-csoportjukhoz közelebbi, illetve attól távolabbi karboxilát-oxigénjük protonálásával. A konformerek szerkezet-meghatározásához IEF-PCM oldószermodellt használtam, és első közelítésben azok spektrumainak számításakor is ezzel a modellel vettem figyelembe az oldószer és a ciszteinmolekula között kialakuló kölcsönhatásokat. A tisztán implicit oldószermodellel számított spektrumok a kísérletiekkel csak azokban a spektrumtartományokban mutattak elfogadható egyezést, ahol a molekula olyan rezgései találhatók, amelyekben csak kis mértékben vesznek részt azok a csoportok, melyeknél specifikus szolvatáció, intermolekuláris hidrogénkötés kialakulására számíthatunk. A specifikus szolvatáció számításba vételére vizsgáltam a ciszteinmolekula négy, illetve öt vízmolekulával alkotott komplexeit. A vízmolekulák explicit módon történő figyelembevételével jelentős javulást értünk el az elméleti és kísérleti spektrumok egyezésének tekintetében. Számításaink azt mutatták, hogy specifikus szolvatáció kialakulásakor az intramolekuláris kölcsönhatások elveszítik jelentőségüket a molekulák közt kialakulókkal szemben. Ennek alátámasztására MP2 számításokat is végeztem. Eredményeink alapján kiemelkedő fontosságú a vízmolekulák között kialakuló hidrogénkötések figyelembevétele is.</w:t>
      </w:r>
      <w:r>
        <w:rPr>
          <w:color w:val="000000"/>
          <w:sz w:val="24"/>
          <w:szCs w:val="24"/>
        </w:rPr>
        <w:br/>
        <w:t xml:space="preserve">A további terveink között szerepel hasonló vizsgálatok elvégzése más aminosavak esetében is. Mindenképpen szükséges az alkalmazott számítási szint (B3LYP/aug-cc-pVDZ) megbízhatóságának ellenőrzése más funkcionálokkal, illetve magas szintű elektronkorrelációs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Kamiński, M.; Kudelski, A.; Pecul, M. J. Phys. Chem. B, 116(16), 4976-4990 (2012)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43272">
    <w:multiLevelType w:val="hybridMultilevel"/>
    <w:lvl w:ilvl="0" w:tplc="75731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43272">
    <w:abstractNumId w:val="82143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675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