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LOVÁK </w:t>
            </w:r>
          </w:p>
          <w:p w:rsidR="00C275A3" w:rsidRDefault="00A96AEC" w:rsidP="00C275A3">
            <w:pPr>
              <w:pStyle w:val="Hallgatokepzes"/>
            </w:pPr>
            <w:r>
              <w:t>chemisty</w:t>
            </w:r>
            <w:r>
              <w:br/>
            </w:r>
            <w:r w:rsidR="00E77B23">
              <w:t>BSc, 9.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Imre Salma</w:t>
            </w:r>
          </w:p>
          <w:p w:rsidR="00DB4822" w:rsidRDefault="00DB4822" w:rsidP="00BA6BAF">
            <w:pPr>
              <w:pStyle w:val="Konzulensektitulus"/>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soot aerosol and relevance in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PM2,5 fraction, elemental carbon, organic carbon, RT-OC/EC, TEOM</w:t>
      </w:r>
      <w:r>
        <w:t xml:space="preserve"/>
      </w:r>
    </w:p>
    <w:p>
      <w:pPr>
        <w:widowControl w:val="on"/>
        <w:pBdr/>
        <w:spacing w:before="240" w:after="240" w:line="240" w:lineRule="auto"/>
        <w:ind w:left="0" w:right="0"/>
        <w:jc w:val="left"/>
      </w:pPr>
      <w:r>
        <w:rPr>
          <w:color w:val="000000"/>
          <w:sz w:val="24"/>
          <w:szCs w:val="24"/>
        </w:rPr>
        <w:t xml:space="preserve">The main purpose of my scientific work to determine the concentration and properties of the soot particles in the size range of PM2,5 in the aerosol of Budapest. I carried out continous measurements in the Institute of Chemistry of ELTE at the Budapest Research and Training Platform (BpArt) from 2014. February 25, till March 11. for 2 weeks. The quantity of organic carbon (OC) and elemental carbon (EC) were measured by real time RT-OC / EC analyzer using thermal-optical transmission method. I used EUSAAR2 temperature protocol for the separation of OC and EC. </w:t>
      </w:r>
      <w:r>
        <w:rPr>
          <w:color w:val="000000"/>
          <w:sz w:val="24"/>
          <w:szCs w:val="24"/>
        </w:rPr>
        <w:br/>
        <w:t xml:space="preserve">I concluded that the mass concentration of PM2,5-size fraction was changed between 8,4‒55 μg/m3 with 26 μg/m3 median value. My results were compared between April and May in 2012 with datas (8,4‒55 μg/m3) from one of the street section of downtown Budapest [1], which showed significant parity. The median of OC and EC concentrations were respectively 4,1 μg/m3 and 2,1 μg/m3. My measured results were lower 1,6 times compared to mentioned datas from spring period which is related to the differences between the mild winter period and type of the locations of measurement (downtown, open area or street section). This ratio imply to the secondary organic aerosol affix. The contributions of elemental carbon for PM2.5 mass concentration was (8.9 ± 2.5)%. I used measured results from spring period at the year 2002 where mass contribution of EC for PM2,5 was (14±6)% [2]. Our results have proven less, although still relatively high compared to other European cities. The organic matter content was calculated from OC concentrations for which, I used an 1,6-fold conversion factor is a tipical of urban oxidative air. OM / PM ratio from 2002 in PM2.5 size range was (43 ± 9)% [2]. This value gives the contribution of organic matter. My measured value was significantly lower (26 ± 5)%. In addition to atmospheric process, the different locations and applied temperature protocolls also contribute to the differences My further plans include a more detailed evaluation and interpretation of the obtained results derived from the analysis.</w:t>
      </w:r>
    </w:p>
    <w:p>
      <w:pPr>
        <w:widowControl w:val="on"/>
        <w:pBdr/>
        <w:spacing w:before="240" w:after="240" w:line="240" w:lineRule="auto"/>
        <w:ind w:left="0" w:right="0"/>
        <w:jc w:val="left"/>
      </w:pPr>
      <w:r>
        <w:rPr>
          <w:color w:val="000000"/>
          <w:sz w:val="24"/>
          <w:szCs w:val="24"/>
        </w:rPr>
        <w:t xml:space="preserve">[1] Salma, I., Maenhaut, W., Weidinger, T., Pinto, J.: J. Aerosol. Sci. 35S1 153‒154, 2004a.</w:t>
      </w:r>
      <w:r>
        <w:rPr>
          <w:color w:val="000000"/>
          <w:sz w:val="24"/>
          <w:szCs w:val="24"/>
        </w:rPr>
        <w:br/>
        <w:t xml:space="preserve">[2] Salma, I., Chi, X., Maenhaut, W.: Atmos. Environ., 38 27‒36, 2004b.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71146">
    <w:multiLevelType w:val="hybridMultilevel"/>
    <w:lvl w:ilvl="0" w:tplc="63221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71146">
    <w:abstractNumId w:val="914711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948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