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PÉTER PÜNKÖSTI</w:t>
            </w:r>
          </w:p>
          <w:p w:rsidR="00C275A3" w:rsidRDefault="00A96AEC" w:rsidP="00C275A3">
            <w:pPr>
              <w:pStyle w:val="Hallgatokepzes"/>
            </w:pPr>
            <w:r>
              <w:t>Chemistry</w:t>
            </w:r>
            <w:r>
              <w:br/>
            </w:r>
            <w:r w:rsidR="00E77B23">
              <w:t>BSc, 5. semester</w:t>
            </w:r>
          </w:p>
          <w:p w:rsidR="00C265CE" w:rsidRPr="009E5FF1" w:rsidRDefault="00E77B23" w:rsidP="00BA6BAF">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András Herner</w:t>
            </w:r>
          </w:p>
          <w:p w:rsidR="00DB4822" w:rsidRDefault="00DB4822" w:rsidP="00BA6BAF">
            <w:pPr>
              <w:pStyle w:val="Konzulensektitulus"/>
            </w:pPr>
            <w:r w:rsidRPr="00DB4822">
              <w:t>research fellow,  HAS Research Centre for Natural Sciences, IOC</w:t>
            </w:r>
          </w:p>
        </w:tc>
      </w:tr>
      <w:tr w:rsidR="00DB4822" w:rsidTr="00DB4822">
        <w:tc>
          <w:tcPr>
            <w:tcW w:w="9854" w:type="dxa"/>
          </w:tcPr>
          <w:p w:rsidR="00DB4822" w:rsidRPr="00DB4822" w:rsidRDefault="00DB4822" w:rsidP="00BA6BAF">
            <w:pPr>
              <w:pStyle w:val="Konzulenseknev"/>
            </w:pPr>
            <w:r w:rsidRPr="00DB4822">
              <w:t>Péter Kele</w:t>
            </w:r>
          </w:p>
          <w:p w:rsidR="00DB4822" w:rsidRDefault="00DB4822" w:rsidP="00BA6BAF">
            <w:pPr>
              <w:pStyle w:val="Konzulensektitulus"/>
            </w:pPr>
            <w:r w:rsidRPr="00DB4822">
              <w:t>senior research fellow,  HAS Research Centre for Natural Sciences, IOC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3-substituted coumarins by photoisomerization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coumarin; salycilaldehyde; Wittig reaction; cinnamic acid ester; photocyclization</w:t>
      </w:r>
      <w:r>
        <w:t xml:space="preserve"/>
      </w:r>
    </w:p>
    <w:p>
      <w:pPr>
        <w:widowControl w:val="on"/>
        <w:pBdr/>
        <w:spacing w:before="240" w:after="240" w:line="240" w:lineRule="auto"/>
        <w:ind w:left="0" w:right="0"/>
        <w:jc w:val="left"/>
      </w:pPr>
      <w:r>
        <w:rPr>
          <w:color w:val="000000"/>
          <w:sz w:val="24"/>
          <w:szCs w:val="24"/>
        </w:rPr>
        <w:t xml:space="preserve">A mild synthetic routine was developed for the synthesis of 3-substituted coumarins. In contrast to existing methods (Perkin, von Pechmann, Knoevenagel) the applied reaction sequence allows the presence of acid or base labile substituents e.g. protecting groups.</w:t>
      </w:r>
    </w:p>
    <w:p>
      <w:pPr>
        <w:widowControl w:val="on"/>
        <w:pBdr/>
        <w:spacing w:before="240" w:after="240" w:line="240" w:lineRule="auto"/>
        <w:ind w:left="0" w:right="0"/>
        <w:jc w:val="left"/>
      </w:pPr>
      <w:r>
        <w:rPr>
          <w:color w:val="000000"/>
          <w:sz w:val="24"/>
          <w:szCs w:val="24"/>
        </w:rPr>
        <w:t xml:space="preserve">The developed two-step sequential approach combines a Wittig-reaction between ylides and salicylaldehydes with a subsequent photosomerization mediated ring-cyclization step. (Scheme 1)</w:t>
      </w:r>
    </w:p>
    <w:p>
      <w:pPr>
        <w:widowControl w:val="on"/>
        <w:pBdr/>
        <w:spacing w:before="240" w:after="240" w:line="240" w:lineRule="auto"/>
        <w:ind w:left="0" w:right="0"/>
        <w:jc w:val="left"/>
      </w:pPr>
      <w:r>
        <w:rPr>
          <w:color w:val="000000"/>
          <w:sz w:val="24"/>
          <w:szCs w:val="24"/>
        </w:rPr>
        <w:t xml:space="preserve">The synthetic approach was tested in several model reactions using two selected ylides and variously substituted salicylaldehydes (e.g. protected amino group, halogens and electron donating groups). The constitution of the ylides determine the 3-substituent groups, while substituents on the aldehyde determine the decoration pattern of the 5-8 position of the coumarin framework.</w:t>
      </w:r>
    </w:p>
    <w:p>
      <w:pPr>
        <w:widowControl w:val="on"/>
        <w:pBdr/>
        <w:spacing w:before="240" w:after="240" w:line="240" w:lineRule="auto"/>
        <w:ind w:left="0" w:right="0"/>
        <w:jc w:val="left"/>
      </w:pPr>
      <w:r>
        <w:rPr>
          <w:color w:val="000000"/>
          <w:sz w:val="24"/>
          <w:szCs w:val="24"/>
        </w:rPr>
        <w:t xml:space="preserve">This study reveals that the method can be used generally with a variety of substituents and the products can be obtained in a good yield.</w:t>
      </w:r>
    </w:p>
    <w:p>
      <w:pPr>
        <w:widowControl w:val="on"/>
        <w:pBdr/>
        <w:spacing w:before="240" w:after="240" w:line="240" w:lineRule="auto"/>
        <w:ind w:left="1350" w:right="0"/>
        <w:jc w:val="left"/>
      </w:pPr>
      <w:r>
        <w:rPr>
          <w:color w:val="000000"/>
          <w:sz w:val="24"/>
          <w:szCs w:val="24"/>
        </w:rPr>
        <w:drawing>
          <wp:inline distT="0" distB="0" distL="0" distR="0">
            <wp:extent cx="4233600" cy="1195200"/>
            <wp:docPr id="83462578" name="name154f8b1085461c" descr="imgtmp_32663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63_int_1.png"/>
                    <pic:cNvPicPr/>
                  </pic:nvPicPr>
                  <pic:blipFill>
                    <a:blip r:embed="rId154f8b108545c8" cstate="print"/>
                    <a:stretch>
                      <a:fillRect/>
                    </a:stretch>
                  </pic:blipFill>
                  <pic:spPr>
                    <a:xfrm>
                      <a:off x="0" y="0"/>
                      <a:ext cx="4233600" cy="1195200"/>
                    </a:xfrm>
                    <a:prstGeom prst="rect">
                      <a:avLst/>
                    </a:prstGeom>
                    <a:ln w="0">
                      <a:noFill/>
                    </a:ln>
                  </pic:spPr>
                </pic:pic>
              </a:graphicData>
            </a:graphic>
          </wp:inline>
        </w:drawing>
      </w:r>
    </w:p>
    <w:p>
      <w:pPr>
        <w:widowControl w:val="on"/>
        <w:pBdr/>
        <w:spacing w:before="240" w:after="240" w:line="240" w:lineRule="auto"/>
        <w:ind w:left="2250" w:right="0"/>
        <w:jc w:val="left"/>
      </w:pPr>
      <w:r>
        <w:rPr>
          <w:color w:val="000000"/>
          <w:sz w:val="24"/>
          <w:szCs w:val="24"/>
        </w:rPr>
        <w:t xml:space="preserve">Scheme 1: The applied reaction sequence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20991">
    <w:multiLevelType w:val="hybridMultilevel"/>
    <w:lvl w:ilvl="0" w:tplc="21880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20991">
    <w:abstractNumId w:val="95720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336696" Type="http://schemas.openxmlformats.org/officeDocument/2006/relationships/numbering" Target="numbering.xml"/><Relationship Id="rId154f8b108545c8" Type="http://schemas.openxmlformats.org/officeDocument/2006/relationships/image" Target="media/imgrId154f8b108545c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