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SAMU</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Turányi</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Tamás Varga</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ethane pyrolysis and oxidation at high pressures using global optimization based on shock tube data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combustion chemistry; rate coefficient; parameter estimation; uncertainty estimation</w:t>
      </w:r>
      <w:r>
        <w:t xml:space="preserve"/>
      </w:r>
    </w:p>
    <w:p>
      <w:pPr>
        <w:widowControl w:val="on"/>
        <w:pBdr/>
        <w:spacing w:before="240" w:after="240" w:line="240" w:lineRule="auto"/>
        <w:ind w:left="0" w:right="0"/>
        <w:jc w:val="left"/>
      </w:pPr>
      <w:r>
        <w:rPr>
          <w:color w:val="000000"/>
          <w:sz w:val="24"/>
          <w:szCs w:val="24"/>
        </w:rPr>
        <w:t xml:space="preserve">Combustion of ethane at high pressures is not a well-known process, although ethane is an important intermediate during the oxidation and pyrolysis of most fuels. In order to simulate the combustion of more complex fuels it is inevitable to create a proper mechanism for the combustion processes of ethane.</w:t>
      </w:r>
      <w:r>
        <w:rPr>
          <w:color w:val="000000"/>
          <w:sz w:val="24"/>
          <w:szCs w:val="24"/>
        </w:rPr>
        <w:br/>
        <w:t xml:space="preserve">Tranter et al. [1] conducted a series of experiments of ethane oxidation and pyrolysis covering a wide range of temperature (829–1491 K) and pressure (5–1000 bar) in a high pressure shock tube measuring the final concentrations of the most important products. Their aim was to create a mechanism for the oxidation and pyrolysis of ethane which describes well their measurements, but the obtained model could not reproduce the results of measurements well enough.</w:t>
      </w:r>
      <w:r>
        <w:rPr>
          <w:color w:val="000000"/>
          <w:sz w:val="24"/>
          <w:szCs w:val="24"/>
        </w:rPr>
        <w:br/>
        <w:t xml:space="preserve">In this study I present the re-evaluation of their datasets based on the optimization method developed at the Chemical Kinetics Laboratory of the Institute of Chemistry of the Eötvös University (ELTE) [2]. I started from the reduced form of the NUIG C5 v49 mechanism of Healy et al. [3]. Using local sensitivity analysis, I identified the rate coefficients of nine reaction steps, which affect significantly the simulated final concentrations at the conditions of measurements. By collecting direct rate coefficient measurements and results of theoretical calculations, I determined the temperature dependent uncertainty range of the selected reaction steps. The optimization was carried out by the program Optima developed at the Chemical Kinetics Laboratory. The shock tube measurements of Tranter et al. as well as measured reaction rate coefficients were used as optimization targets.</w:t>
      </w:r>
      <w:r>
        <w:rPr>
          <w:color w:val="000000"/>
          <w:sz w:val="24"/>
          <w:szCs w:val="24"/>
        </w:rPr>
        <w:br/>
        <w:t xml:space="preserve">The optimized mechanism described the results of the shock tube experiments significantly better compared to the mechanism of Tranter et al. Decrease of uncertainty ranges was achieved for six of the nine reaction rates in the whole studied temperature range. The rate coefficients of the reaction steps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6</w:t>
      </w:r>
      <w:r>
        <w:rPr>
          <w:color w:val="000000"/>
          <w:sz w:val="24"/>
          <w:szCs w:val="24"/>
        </w:rPr>
        <w:t xml:space="preserve"> + H =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5</w:t>
      </w:r>
      <w:r>
        <w:rPr>
          <w:color w:val="000000"/>
          <w:sz w:val="24"/>
          <w:szCs w:val="24"/>
        </w:rPr>
        <w:t xml:space="preserve"> + H</w:t>
      </w:r>
      <w:r>
        <w:rPr>
          <w:color w:val="000000"/>
          <w:position w:val="-4"/>
          <w:sz w:val="21"/>
          <w:szCs w:val="21"/>
          <w:vertAlign w:val="subscript"/>
        </w:rPr>
        <w:t xml:space="preserve">2</w:t>
      </w:r>
      <w:r>
        <w:rPr>
          <w:color w:val="000000"/>
          <w:sz w:val="24"/>
          <w:szCs w:val="24"/>
        </w:rPr>
        <w:t xml:space="preserve"> and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4</w:t>
      </w:r>
      <w:r>
        <w:rPr>
          <w:color w:val="000000"/>
          <w:sz w:val="24"/>
          <w:szCs w:val="24"/>
        </w:rPr>
        <w:t xml:space="preserve"> + OH =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3</w:t>
      </w:r>
      <w:r>
        <w:rPr>
          <w:color w:val="000000"/>
          <w:sz w:val="24"/>
          <w:szCs w:val="24"/>
        </w:rPr>
        <w:t xml:space="preserve"> + H</w:t>
      </w:r>
      <w:r>
        <w:rPr>
          <w:color w:val="000000"/>
          <w:position w:val="-4"/>
          <w:sz w:val="21"/>
          <w:szCs w:val="21"/>
          <w:vertAlign w:val="subscript"/>
        </w:rPr>
        <w:t xml:space="preserve">2</w:t>
      </w:r>
      <w:r>
        <w:rPr>
          <w:color w:val="000000"/>
          <w:sz w:val="24"/>
          <w:szCs w:val="24"/>
        </w:rPr>
        <w:t xml:space="preserve">O could be determined much more precisely than based on literature data. For reaction steps 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3</w:t>
      </w:r>
      <w:r>
        <w:rPr>
          <w:color w:val="000000"/>
          <w:sz w:val="24"/>
          <w:szCs w:val="24"/>
        </w:rPr>
        <w:t xml:space="preserve"> + O</w:t>
      </w:r>
      <w:r>
        <w:rPr>
          <w:color w:val="000000"/>
          <w:position w:val="-4"/>
          <w:sz w:val="21"/>
          <w:szCs w:val="21"/>
          <w:vertAlign w:val="subscript"/>
        </w:rPr>
        <w:t xml:space="preserve">2</w:t>
      </w:r>
      <w:r>
        <w:rPr>
          <w:color w:val="000000"/>
          <w:sz w:val="24"/>
          <w:szCs w:val="24"/>
        </w:rPr>
        <w:t xml:space="preserve"> = CH</w:t>
      </w:r>
      <w:r>
        <w:rPr>
          <w:color w:val="000000"/>
          <w:position w:val="-4"/>
          <w:sz w:val="21"/>
          <w:szCs w:val="21"/>
          <w:vertAlign w:val="subscript"/>
        </w:rPr>
        <w:t xml:space="preserve">2</w:t>
      </w:r>
      <w:r>
        <w:rPr>
          <w:color w:val="000000"/>
          <w:sz w:val="24"/>
          <w:szCs w:val="24"/>
        </w:rPr>
        <w:t xml:space="preserve">CHO + O and </w:t>
      </w:r>
      <w:r>
        <w:rPr>
          <w:color w:val="000000"/>
          <w:sz w:val="24"/>
          <w:szCs w:val="24"/>
        </w:rPr>
        <w:br/>
        <w:t xml:space="preserve">C</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w:t>
      </w:r>
      <w:r>
        <w:rPr>
          <w:color w:val="000000"/>
          <w:sz w:val="24"/>
          <w:szCs w:val="24"/>
        </w:rPr>
        <w:t xml:space="preserve"> + O</w:t>
      </w:r>
      <w:r>
        <w:rPr>
          <w:color w:val="000000"/>
          <w:position w:val="-4"/>
          <w:sz w:val="21"/>
          <w:szCs w:val="21"/>
          <w:vertAlign w:val="subscript"/>
        </w:rPr>
        <w:t xml:space="preserve">2</w:t>
      </w:r>
      <w:r>
        <w:rPr>
          <w:color w:val="000000"/>
          <w:sz w:val="24"/>
          <w:szCs w:val="24"/>
        </w:rPr>
        <w:t xml:space="preserve"> = HCCO + OH new rate coefficients were determined in the temperature range of </w:t>
      </w:r>
      <w:r>
        <w:rPr>
          <w:color w:val="000000"/>
          <w:sz w:val="24"/>
          <w:szCs w:val="24"/>
        </w:rPr>
        <w:br/>
        <w:t xml:space="preserve">1200–1500 K, for which no published rate coefficients existed.</w:t>
      </w:r>
    </w:p>
    <w:p>
      <w:pPr>
        <w:widowControl w:val="on"/>
        <w:pBdr/>
        <w:spacing w:before="240" w:after="240" w:line="240" w:lineRule="auto"/>
        <w:ind w:left="0" w:right="0"/>
        <w:jc w:val="left"/>
      </w:pPr>
      <w:r>
        <w:rPr>
          <w:color w:val="000000"/>
          <w:sz w:val="24"/>
          <w:szCs w:val="24"/>
        </w:rPr>
        <w:t xml:space="preserve">[1] R.S. Tranter et al., Int. J. Chem. Kinet. 37, 306-331 (2005)</w:t>
      </w:r>
      <w:r>
        <w:rPr>
          <w:color w:val="000000"/>
          <w:sz w:val="24"/>
          <w:szCs w:val="24"/>
        </w:rPr>
        <w:br/>
        <w:t xml:space="preserve">[2] T. Turányi et al., Int. J. Chem. Kinet. 44, 284–302 (2012)</w:t>
      </w:r>
      <w:r>
        <w:rPr>
          <w:color w:val="000000"/>
          <w:sz w:val="24"/>
          <w:szCs w:val="24"/>
        </w:rPr>
        <w:br/>
        <w:t xml:space="preserve">[3] D. Healy et al., Energ. Fuel 24, 1521–1528 (2010)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31565">
    <w:multiLevelType w:val="hybridMultilevel"/>
    <w:lvl w:ilvl="0" w:tplc="87490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31565">
    <w:abstractNumId w:val="77431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953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