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EVELIN</w:t>
            </w:r>
          </w:p>
          <w:p w:rsidR="00C275A3" w:rsidRDefault="00A96AEC" w:rsidP="00C275A3">
            <w:pPr>
              <w:pStyle w:val="Hallgatokepzes"/>
            </w:pPr>
            <w:r>
              <w:t>Kémia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Zrínyi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Juriga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Pászli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sejttenyésztés poli(aminosav) alapú géleken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poli(aszparaginsav) gél; szövettámasz; biokompatibilitás; foggyökérhártya őssejt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háromdimenziós mesterséges szövettámaszként alkalmazható natív extracelluláris mátrix (ECM) előállítása az elmúlt évtizedekben a sejtbiológia fő feladatává vált. A sejttenyésztés kétdimenziós megközelítése kulcs szerepet játszott az alapvető sejt ECM kölcsönhatások megértésében, de a 3D szövettámaszok használatában rejlő lehetőségek messze felülmúlják ezeket. Az ideális szövettámasz nem csupán egy inert környezetet jelent a sejtek tenyésztéséhez, hanem rendelkezik a megfelelő mechanikai és diffúziós tulajdonságokkal, biokompatibilis, biodegradábilis, és biztosítani tudja a sejt mátrix és a sejt sejt közötti kommunikációt [1].</w:t>
      </w:r>
      <w:r>
        <w:rPr>
          <w:color w:val="000000"/>
          <w:sz w:val="24"/>
          <w:szCs w:val="24"/>
        </w:rPr>
        <w:br/>
        <w:t xml:space="preserve">A természetes ECM alapvetően aminosavak összekapcsolásából létrejött polimerekből épül fel, mint például a kollagén, az elasztin, a fibronektin. A mesterséges ECM előállítéásához épp ezért mesterséges aminosav alapú polimerek, például poli(aszparaginsav) használhatók. Munkám fő célja olyan homogén, biokompatibilis polimer gélek előállítása, amelyekben a polimer térháló kizárólag aminosavból épül fel, és ezen gélek alkalmazhatóságának vizsgálata szövettámaszként sejtek in vitro tenyésztéséhez.</w:t>
      </w:r>
      <w:r>
        <w:rPr>
          <w:color w:val="000000"/>
          <w:sz w:val="24"/>
          <w:szCs w:val="24"/>
        </w:rPr>
        <w:br/>
        <w:t xml:space="preserve">Poli(aszparaginsav) alapú gél előállításához poli(szukcinimid) et (PSI) szintetizáltam termikus polikondenzációval. A PSI szobahőmérsékleten, katalizátor használata nélkül könnyedén reakcióba lép nukleofilekkel, így keresztkötések alakíthatók ki a láncok között. Munkám során két bifunkciós amint, cisztamint és lizin metilésztert alkalmaztam különböző arányban keresztkötések létrehozására. Poli(aszparaginsav) alapú géleket lúgos hidrolízissel állítottam elő.</w:t>
      </w:r>
      <w:r>
        <w:rPr>
          <w:color w:val="000000"/>
          <w:sz w:val="24"/>
          <w:szCs w:val="24"/>
        </w:rPr>
        <w:br/>
        <w:t xml:space="preserve">A gélek mechanikai tulajdonsága és a környezeti hatásokra adott válaszreakciója befolyásolja a sejtek adhézióját és hosszútávú szaporodását. Vizsgáltam a gélek duzzadásfokának és rugalmassági moduluszának függését a közeg összetételének illetve pH értékének változásától. A cisztamin diszulfid kötéseinek felnyitásával tiol csoportokat hoztam létre a gél felületén, a sejtek adhéziójának elősegítése érdekében.</w:t>
      </w:r>
      <w:r>
        <w:rPr>
          <w:color w:val="000000"/>
          <w:sz w:val="24"/>
          <w:szCs w:val="24"/>
        </w:rPr>
        <w:br/>
        <w:t xml:space="preserve">A sejtek életképességét (WST 1) méréssel követtük nyomon. A kísérlethez PDLSC (periodontal ligament stem cell) sejtvonalat használtunk. Az eredmények azt mutatták, hogy a rugalmassági modulusz és a polimer térhálóban kialakított tiol csoportok elősegítik a PDLSC sejtek adhézióját és szaporodását.</w:t>
      </w:r>
      <w:r>
        <w:rPr>
          <w:color w:val="000000"/>
          <w:sz w:val="24"/>
          <w:szCs w:val="24"/>
        </w:rPr>
        <w:br/>
        <w:t xml:space="preserve">Eredményeink alapján elmondható, hogy a PASP gélek megfelelőek lehetnek sejtek in vitro tenyésztéséhez.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  <w:r>
        <w:rPr>
          <w:color w:val="000000"/>
          <w:sz w:val="24"/>
          <w:szCs w:val="24"/>
        </w:rPr>
        <w:br/>
        <w:t xml:space="preserve">[1] E. Santos, Trends in biotechnology, 30, (2012) 331.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10957">
    <w:multiLevelType w:val="hybridMultilevel"/>
    <w:lvl w:ilvl="0" w:tplc="61159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10957">
    <w:abstractNumId w:val="57210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268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