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SÁRA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OPOLDUSZ MÁTÉ</w:t>
            </w:r>
          </w:p>
          <w:p w:rsidR="00DB4822" w:rsidRDefault="00C275A3" w:rsidP="004D7940">
            <w:pPr>
              <w:pStyle w:val="Hallgatokepzes"/>
            </w:pPr>
            <w:r>
              <w:t>építőmérnök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Dunai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Joó Attila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burkolatok merevítő hatásának figyelembe vétele acélcsarnokok földrengéshatásra történő tervezésekor – teljes léptékű kísérlet kiértékelése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 júliusában alkalmunk volt részt venni egy teljes léptékű kísérletsorozatban, melynek célja trapézlemez burkolatok merevítő hatásának vizsgálata volt acélcsarnokok esetében. A dolgozatunkban ezt a hatást a földrengési méretezési eljárás fejlesztése szempontjából vizsgáltuk. A kísérlet során egy acélcsarnok két keretállását terheltük és mértük a keret alakváltozásait. A méréseket különböző magasságú trapézlemez burkolatok- és szelemenek beépítésével, többféle konfigurációban végeztük el. Az itt mért és feldolgozott adatok szolgálnak alapul a TDK munka során végzett összehasonlításokhoz, megállapításokhoz.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2007 óta kötelező az épületek földrengésre való méretezése, melynek az alapja az Eurocode 8 szabvány, a Nemzeti Mellékletekkel kiegészítve. A szabványban megfogalmazott általános méretezési elvek nem kifejezetten acélcsarnokokra, inkább többszintes épületekre vonatkoznak. </w:t>
      </w:r>
      <w:r>
        <w:rPr>
          <w:color w:val="000000"/>
          <w:sz w:val="24"/>
          <w:szCs w:val="24"/>
        </w:rPr>
        <w:br/>
        <w:t xml:space="preserve">A kutatásunk során összehasonlításként megvizsgáltuk egy, az IBC (International Building Code) amerikai szabvány alapján, kifejezetten acélcsarnokokra készült méretezési eljárást is, ami a burkolatok merevítő hatását teljesen elhanyagolja. Eddigi tapasztalatok alapján, ez sem nyújt megfelelő közelítést az acélcsarnokok valós szeizmikus viselkedésére.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teljes léptékű kísérletekkel az acélcsarnokok tényleges merevségét mértük különböző burkolati konfigurációk esetén. Ezeket a merevségeket térbeli, rúdelemekből felépített végeselemes modellekbe építettük be, amelyeken modális válaszspektrum analízist hajtottunk végre. Ilyen módon összehasonlíthatóvá vált a különböző számításokból kapott földrengésteher értéke az egyes keretállásokon, a "valós modell"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kapott eredmények rámutatnak, bizonyos méretezési hiányosságokra, valamint javaslatot adunk továbblépésre, ezek megoldása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75602">
    <w:multiLevelType w:val="hybridMultilevel"/>
    <w:lvl w:ilvl="0" w:tplc="23881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75602">
    <w:abstractNumId w:val="65975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565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