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KENÉZ ÁGNES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RÁCZ ANNAMÁRIA</w:t>
            </w:r>
          </w:p>
          <w:p w:rsidR="00DB4822" w:rsidRDefault="00C275A3" w:rsidP="004D7940">
            <w:pPr>
              <w:pStyle w:val="Hallgatokepzes"/>
            </w:pPr>
            <w:r>
              <w:t>Építőmérnöki 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Dunai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Joó Attila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Acélcsarnokok trapézlemez burkolatának merevítő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Acélszerkezetek tervezésére az Eurocode számos előírást és javaslatot ad, de az utóbbi időkben végzett kutatások azt mutatják, hogy néhány helyen, nevezetesen a burkolatok merevítő hatásának figyelembevétele, kiegészítésre, illetve helyesbítésre szorul. Ennek igazolására részt vettünk egy két keretállásból álló acélcsarnok teljes léptékű kísérletében, aminek a kísérleti eredményeit összehasonlíthattuk az Eurocode által javasolt diafragma hatás számítási eljárás eredményeivel.</w:t>
      </w:r>
      <w:r>
        <w:rPr>
          <w:color w:val="000000"/>
          <w:sz w:val="24"/>
          <w:szCs w:val="24"/>
        </w:rPr>
        <w:br/>
        <w:t xml:space="preserve">A csarnokokat a tervezés során ellátják legalább külső-, de sokszor belső burkolattal is, amit gyakran csak térhatároló elemként vesznek figyelembe. Azonban a burkolatok – anyaguktól, kialakításuktól függő mértékben – merevítik a könnyűszerkezetes csarnokot. Ennek a merevítő hatásnak az elhanyagolása akár a biztonság kárára is történhet, például földrengésteherre történő méretezés esetén, ellenkező esetben pedig gazdaságtalan.</w:t>
      </w:r>
      <w:r>
        <w:rPr>
          <w:color w:val="000000"/>
          <w:sz w:val="24"/>
          <w:szCs w:val="24"/>
        </w:rPr>
        <w:br/>
        <w:t xml:space="preserve">Méréseinket szelemennel rendelkező, trapézlemez burkolatú csarnokon végeztük. Különböző méretű szelemeneket, illetve trapézlemezeket használtunk, hogy ezek hatását is figyelembe tudjuk venni. További változó volt még a burkolatot rögzítő csavarok száma is; minden völgyben vagy csak minden másodikban volt-e leerősítve a trapézlemez. Dolgozatunkban csak olyan szerkezeti kialakításokat vizsgáltunk, ahol oldalfalak nem voltak beépítve, hogy tisztán a tetőpanelek merevségét tudjuk ellenőrizni.</w:t>
      </w:r>
      <w:r>
        <w:rPr>
          <w:color w:val="000000"/>
          <w:sz w:val="24"/>
          <w:szCs w:val="24"/>
        </w:rPr>
        <w:br/>
        <w:t xml:space="preserve">Első lépésben a kísérleteink során kapott eredményeket összevetettük az Eurocode 3 1-3 diafragma hatás számítás alapján meghatározott merevségekkel, hogy azon pontosítani tudjunk, mert korábbi kutatások azt mutatták, hogy a szabvány által számított merevségek nem elegendően pontosak. Második lépésben, külső- és belső burkolatot egyaránt tartalmazó kialakításokat vizsgáltunk, mert a szabvány nem ad tájékoztatást ezekre az esetekre. Az általunk mért és számított eredmények alapján megadtunk egy számítási sémát, amivel a kettős burkolatú panelek merevsége jól közelíthető. Harmadik lépésben pedig egész csarnokszerkezet merevségének számítására tettünk javaslatot.</w:t>
      </w:r>
      <w:r>
        <w:rPr>
          <w:color w:val="000000"/>
          <w:sz w:val="24"/>
          <w:szCs w:val="24"/>
        </w:rPr>
        <w:br/>
        <w:t xml:space="preserve">Célunknak megfelelően sikerült megállapítani a burkolat merevítő hatásának valós mértékét, illetve, hogy acélszerkezetű csarnokok esetén a tervezés során ezt hogyan lehet a jelenlegi szabályozásnál pontosabban figyelembe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31590">
    <w:multiLevelType w:val="hybridMultilevel"/>
    <w:lvl w:ilvl="0" w:tplc="37345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31590">
    <w:abstractNumId w:val="69331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682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