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ANDRÁS</w:t>
            </w:r>
          </w:p>
          <w:p w:rsidR="00C275A3" w:rsidRDefault="00A96AEC" w:rsidP="00C275A3">
            <w:pPr>
              <w:pStyle w:val="Hallgatokepzes"/>
            </w:pPr>
            <w:r>
              <w:t>Nemzetközi Tanulmányok</w:t>
            </w:r>
            <w:r>
              <w:br/>
            </w:r>
            <w:r w:rsidR="00E77B23">
              <w:t>BA, 5. félév</w:t>
            </w:r>
          </w:p>
          <w:p w:rsidR="00C265CE" w:rsidRPr="009E5FF1" w:rsidRDefault="00E77B23" w:rsidP="009763E0">
            <w:pPr>
              <w:pStyle w:val="Hallgatointezmeny-kar"/>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Bertalan Péter</w:t>
            </w:r>
          </w:p>
          <w:p w:rsidR="00DB4822" w:rsidRDefault="00DB4822" w:rsidP="009763E0">
            <w:pPr>
              <w:pStyle w:val="Konzulensektitulus"/>
            </w:pPr>
            <w:r w:rsidRPr="00DB4822">
              <w:t>egyetemi 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pánszlávizmustól az energiafegyverig- avagy az eurázsiai sakktábla a XXI.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az Európai Unió és Oroszország kapcsolatrendszerére helyezi a fő hangsúlyt. Részletesen vizsgálom a putyini rendszer bel- és külpolitikáját, Oroszország helyét és szerepét a XXI. század nemzetközi rendszerében. Arra a kérdésre keresem a választ, hogy milyen szerepet játszik a pánszlávizmus az orosz geopolitikai gondolkodásban. Dolgozatom azokat a hálózatokat tárja fel, melyek Oroszországot Európához, Európát pedig Oroszországhoz kötik. Ebben az összefüggésben veszem górcső alá Oroszország és Szerbia kapcsolatait. Kelet-Közép-Európa több szempontból fontos szerepet játszik az eurázsiai sakkjátszmában, országai a sakktábla centrummezőit foglalják el, míg a két erőtér peremén helyezkednek el. A NATO és az Európai Unió keleti bővítése elégséges volt-e ahhoz, hogy a kisállamokat a Nyugat magához vonzza?</w:t>
      </w:r>
      <w:r>
        <w:rPr>
          <w:color w:val="000000"/>
          <w:sz w:val="24"/>
          <w:szCs w:val="24"/>
        </w:rPr>
        <w:br/>
        <w:t xml:space="preserve">Megoszlanak a vélemények arról, hogy Oroszország valóban rendelkezik-e geopolitikai érdekeinek érvényesítése érdekében bevethető, a közép-európai, kelet-közép-európai országok szuverenitását veszélyeztető, döntéshozatalukat befolyásoló energiafegyverrel. A kérdés több szempontból is megközelíthető, és a legkevésbé sem eldöntendő. Érdemes a felvetést eurázsiai és globális dimenziókban is megvizsgálni, hisz a XXI. században a kérdéskör nem korlátozódik az európai kontinensre, összefügg nemcsak ázsiai, de transzatlanti szereplők cselekedeteivel is. Milyen lépések voltak meghatározóak az Unió és Oroszország kapcsolatrendszerében az energia területén? Hol tartunk most? Mit hozhat a jövő?</w:t>
      </w:r>
      <w:r>
        <w:rPr>
          <w:color w:val="000000"/>
          <w:sz w:val="24"/>
          <w:szCs w:val="24"/>
        </w:rPr>
        <w:br/>
        <w:t xml:space="preserve">A felvázolt problémakörök, kutatási kérdések átfogó vizsgálatához a geopolitika tudománya, a történettudomány szekunder forrásai és új kutatási paradigmarendszere adott segítséget. Témám térben és időben kiterjedt, multi- és interdiszciplináris jellegű. Dolgozatom aktuális eseményekkel, Magyarország szempontjából is fontos folyamatokkal foglalkozik. Az energiabiztonság kérdéskörét egy energiafegyver-modell és az aszimmetrikus interdependencia feltételrendszerének bemutatásával tárgyalom. Munkám zárásaként összegzem kutatásom eredményeit.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74606">
    <w:multiLevelType w:val="hybridMultilevel"/>
    <w:lvl w:ilvl="0" w:tplc="10811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74606">
    <w:abstractNumId w:val="480746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414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